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23FD" w14:textId="77777777" w:rsidR="008747CD" w:rsidRDefault="008747CD" w:rsidP="003F3555">
      <w:pPr>
        <w:jc w:val="center"/>
        <w:rPr>
          <w:rFonts w:ascii="Arial Narrow" w:hAnsi="Arial Narrow" w:cs="Arial"/>
          <w:b/>
          <w:color w:val="000000"/>
        </w:rPr>
      </w:pPr>
    </w:p>
    <w:p w14:paraId="0A53BC19" w14:textId="098DC506" w:rsidR="001A2A37" w:rsidRDefault="003F3555" w:rsidP="003F3555">
      <w:pPr>
        <w:jc w:val="center"/>
        <w:rPr>
          <w:rFonts w:ascii="Arial Narrow" w:hAnsi="Arial Narrow" w:cs="Arial"/>
          <w:b/>
          <w:color w:val="000000"/>
        </w:rPr>
      </w:pPr>
      <w:r w:rsidRPr="00B17F65">
        <w:rPr>
          <w:rFonts w:ascii="Arial Narrow" w:hAnsi="Arial Narrow" w:cs="Arial"/>
          <w:b/>
          <w:color w:val="000000"/>
        </w:rPr>
        <w:t>EDITAL DE LICITAÇÃO</w:t>
      </w:r>
      <w:r w:rsidR="00344473">
        <w:rPr>
          <w:rFonts w:ascii="Arial Narrow" w:hAnsi="Arial Narrow" w:cs="Arial"/>
          <w:b/>
          <w:color w:val="000000"/>
        </w:rPr>
        <w:t xml:space="preserve"> </w:t>
      </w:r>
    </w:p>
    <w:p w14:paraId="4963BEA2" w14:textId="110EF82E" w:rsidR="003F3555" w:rsidRPr="00B17F65" w:rsidRDefault="003F3555" w:rsidP="003F3555">
      <w:pPr>
        <w:jc w:val="center"/>
        <w:rPr>
          <w:rFonts w:ascii="Arial Narrow" w:hAnsi="Arial Narrow" w:cs="Arial"/>
          <w:b/>
          <w:color w:val="000000"/>
        </w:rPr>
      </w:pPr>
      <w:r w:rsidRPr="00B17F65">
        <w:rPr>
          <w:rFonts w:ascii="Arial Narrow" w:hAnsi="Arial Narrow" w:cs="Arial"/>
          <w:b/>
          <w:color w:val="000000"/>
        </w:rPr>
        <w:t>PREGÃO</w:t>
      </w:r>
      <w:r w:rsidR="007F7A88">
        <w:rPr>
          <w:rFonts w:ascii="Arial Narrow" w:hAnsi="Arial Narrow" w:cs="Arial"/>
          <w:b/>
          <w:color w:val="000000"/>
        </w:rPr>
        <w:t xml:space="preserve"> ELETRÔNICO</w:t>
      </w:r>
      <w:r w:rsidRPr="00B17F65">
        <w:rPr>
          <w:rFonts w:ascii="Arial Narrow" w:hAnsi="Arial Narrow" w:cs="Arial"/>
          <w:b/>
          <w:color w:val="000000"/>
        </w:rPr>
        <w:t xml:space="preserve"> Nº </w:t>
      </w:r>
      <w:bookmarkStart w:id="0" w:name="Texto33"/>
      <w:sdt>
        <w:sdtPr>
          <w:rPr>
            <w:rFonts w:ascii="Arial Narrow" w:hAnsi="Arial Narrow" w:cs="Arial"/>
            <w:b/>
            <w:color w:val="000000"/>
          </w:rPr>
          <w:id w:val="5074964"/>
          <w:placeholder>
            <w:docPart w:val="3F97B02647F5410E8A357E06CFC785EB"/>
          </w:placeholder>
        </w:sdtPr>
        <w:sdtEndPr/>
        <w:sdtContent>
          <w:bookmarkEnd w:id="0"/>
          <w:r w:rsidR="001A2A37">
            <w:rPr>
              <w:rFonts w:ascii="Arial Narrow" w:hAnsi="Arial Narrow" w:cs="Arial"/>
              <w:b/>
              <w:color w:val="000000"/>
            </w:rPr>
            <w:t>0</w:t>
          </w:r>
          <w:r w:rsidR="007F7A88">
            <w:rPr>
              <w:rFonts w:ascii="Arial Narrow" w:hAnsi="Arial Narrow" w:cs="Arial"/>
              <w:b/>
              <w:color w:val="000000"/>
            </w:rPr>
            <w:t>2</w:t>
          </w:r>
          <w:r w:rsidRPr="00B17F65">
            <w:rPr>
              <w:rFonts w:ascii="Arial Narrow" w:hAnsi="Arial Narrow" w:cs="Arial"/>
              <w:b/>
              <w:color w:val="000000"/>
            </w:rPr>
            <w:t>/202</w:t>
          </w:r>
          <w:r w:rsidR="001A2A37">
            <w:rPr>
              <w:rFonts w:ascii="Arial Narrow" w:hAnsi="Arial Narrow" w:cs="Arial"/>
              <w:b/>
              <w:color w:val="000000"/>
            </w:rPr>
            <w:t>1</w:t>
          </w:r>
        </w:sdtContent>
      </w:sdt>
    </w:p>
    <w:p w14:paraId="1295257F" w14:textId="77777777" w:rsidR="001A2A37" w:rsidRDefault="001A2A37" w:rsidP="00344473">
      <w:pPr>
        <w:adjustRightInd w:val="0"/>
        <w:jc w:val="center"/>
        <w:rPr>
          <w:rFonts w:ascii="Arial Narrow" w:hAnsi="Arial Narrow" w:cs="Arial"/>
          <w:b/>
          <w:color w:val="000000"/>
        </w:rPr>
      </w:pPr>
    </w:p>
    <w:p w14:paraId="7ECC280A" w14:textId="77777777" w:rsidR="003F3555" w:rsidRDefault="00344473" w:rsidP="00344473">
      <w:pPr>
        <w:adjustRightInd w:val="0"/>
        <w:jc w:val="center"/>
        <w:rPr>
          <w:rFonts w:ascii="Arial Narrow" w:hAnsi="Arial Narrow" w:cs="Arial"/>
          <w:b/>
          <w:color w:val="000000"/>
        </w:rPr>
      </w:pPr>
      <w:r w:rsidRPr="00344473">
        <w:rPr>
          <w:rFonts w:ascii="Arial Narrow" w:hAnsi="Arial Narrow" w:cs="Arial"/>
          <w:b/>
          <w:color w:val="000000"/>
        </w:rPr>
        <w:t>ERRATA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7"/>
        <w:gridCol w:w="3402"/>
      </w:tblGrid>
      <w:tr w:rsidR="007F7A88" w:rsidRPr="00254D0C" w14:paraId="03CA5395" w14:textId="77777777" w:rsidTr="005B5AC2">
        <w:trPr>
          <w:trHeight w:val="386"/>
          <w:jc w:val="center"/>
        </w:trPr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BA5AD" w14:textId="77777777" w:rsidR="007F7A88" w:rsidRPr="00254D0C" w:rsidRDefault="007F7A88" w:rsidP="005B5AC2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Processo PRO-</w:t>
            </w:r>
            <w:r w:rsidRPr="00A035F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00859/2021</w:t>
            </w: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- SC - 020722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FD8BA" w14:textId="77777777" w:rsidR="007F7A88" w:rsidRPr="00254D0C" w:rsidRDefault="007F7A88" w:rsidP="005B5AC2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Tipo: Menor Preço Global</w:t>
            </w:r>
          </w:p>
        </w:tc>
      </w:tr>
      <w:tr w:rsidR="007F7A88" w:rsidRPr="00254D0C" w14:paraId="537A8101" w14:textId="77777777" w:rsidTr="005B5AC2">
        <w:trPr>
          <w:trHeight w:val="386"/>
          <w:jc w:val="center"/>
        </w:trPr>
        <w:tc>
          <w:tcPr>
            <w:tcW w:w="4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51FEC" w14:textId="77777777" w:rsidR="007F7A88" w:rsidRPr="00254D0C" w:rsidRDefault="007F7A88" w:rsidP="005B5AC2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Abertura:    10/05/2021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65B53" w14:textId="77777777" w:rsidR="007F7A88" w:rsidRPr="00254D0C" w:rsidRDefault="007F7A88" w:rsidP="005B5AC2">
            <w:pPr>
              <w:pStyle w:val="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Horário: </w:t>
            </w:r>
            <w:r w:rsidRPr="00A035F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10 </w:t>
            </w: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horas</w:t>
            </w:r>
          </w:p>
        </w:tc>
      </w:tr>
      <w:tr w:rsidR="007F7A88" w:rsidRPr="00254D0C" w14:paraId="1DE71EBB" w14:textId="77777777" w:rsidTr="005B5AC2">
        <w:trPr>
          <w:trHeight w:val="535"/>
          <w:jc w:val="center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3D4F6" w14:textId="77777777" w:rsidR="007F7A88" w:rsidRPr="00254D0C" w:rsidRDefault="007F7A88" w:rsidP="005B5AC2">
            <w:pPr>
              <w:pStyle w:val="xxmsonormal"/>
              <w:spacing w:before="0" w:beforeAutospacing="0" w:after="0" w:afterAutospacing="0"/>
              <w:ind w:right="28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Local: SBN, Quadra 1, Bloco C, Edifício Roberto Simonsen, 2º andar, CEP 70040-903</w:t>
            </w:r>
          </w:p>
          <w:p w14:paraId="16FDB3CB" w14:textId="77777777" w:rsidR="007F7A88" w:rsidRPr="00254D0C" w:rsidRDefault="007F7A88" w:rsidP="005B5AC2">
            <w:pPr>
              <w:pStyle w:val="xmsonormal"/>
              <w:spacing w:before="0" w:beforeAutospacing="0" w:after="0" w:afterAutospacing="0"/>
              <w:ind w:right="28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54D0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Brasília (DF) - Fones (61) 3317-9891</w:t>
            </w:r>
          </w:p>
        </w:tc>
      </w:tr>
    </w:tbl>
    <w:p w14:paraId="69667F2A" w14:textId="77777777" w:rsidR="003F3555" w:rsidRPr="00B17F65" w:rsidRDefault="003F3555" w:rsidP="003F3555">
      <w:pPr>
        <w:adjustRightInd w:val="0"/>
        <w:jc w:val="both"/>
        <w:rPr>
          <w:rFonts w:ascii="Arial Narrow" w:hAnsi="Arial Narrow" w:cs="Arial"/>
        </w:rPr>
      </w:pPr>
      <w:r w:rsidRPr="00B17F65">
        <w:rPr>
          <w:rFonts w:ascii="Arial Narrow" w:hAnsi="Arial Narrow" w:cs="Arial"/>
          <w:color w:val="000000"/>
        </w:rPr>
        <w:t> </w:t>
      </w:r>
    </w:p>
    <w:p w14:paraId="23B07495" w14:textId="0152C50F" w:rsidR="007F7A88" w:rsidRDefault="007F7A88" w:rsidP="007F7A88">
      <w:pPr>
        <w:jc w:val="both"/>
        <w:rPr>
          <w:rFonts w:ascii="Arial Narrow" w:hAnsi="Arial Narrow" w:cs="Arial"/>
        </w:rPr>
      </w:pPr>
      <w:bookmarkStart w:id="1" w:name="_Hlk70506858"/>
      <w:r>
        <w:rPr>
          <w:rFonts w:ascii="Arial Narrow" w:hAnsi="Arial Narrow" w:cs="Arial"/>
        </w:rPr>
        <w:t xml:space="preserve">No Edital  </w:t>
      </w:r>
    </w:p>
    <w:p w14:paraId="1C294E8B" w14:textId="3E7A5D83" w:rsidR="001A2A37" w:rsidRPr="007F7A88" w:rsidRDefault="007F7A88" w:rsidP="007F7A8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13. </w:t>
      </w:r>
      <w:r w:rsidRPr="007F7A88">
        <w:rPr>
          <w:rFonts w:ascii="Arial Narrow" w:hAnsi="Arial Narrow" w:cs="Arial"/>
        </w:rPr>
        <w:t xml:space="preserve">Das disposições Gerais </w:t>
      </w:r>
    </w:p>
    <w:bookmarkEnd w:id="1"/>
    <w:p w14:paraId="77B6EDA1" w14:textId="77777777" w:rsidR="001A2A37" w:rsidRDefault="001A2A37" w:rsidP="001A2A37">
      <w:pPr>
        <w:jc w:val="both"/>
        <w:rPr>
          <w:rFonts w:ascii="Arial Narrow" w:hAnsi="Arial Narrow" w:cs="Arial"/>
        </w:rPr>
      </w:pPr>
    </w:p>
    <w:p w14:paraId="3FC7301A" w14:textId="77777777" w:rsidR="00F410EF" w:rsidRPr="00F410EF" w:rsidRDefault="001A2A37" w:rsidP="001A2A37">
      <w:pPr>
        <w:jc w:val="both"/>
        <w:rPr>
          <w:rFonts w:ascii="Arial Narrow" w:hAnsi="Arial Narrow" w:cs="Arial"/>
          <w:b/>
          <w:bCs/>
          <w:u w:val="single"/>
        </w:rPr>
      </w:pPr>
      <w:bookmarkStart w:id="2" w:name="_Hlk70506688"/>
      <w:r w:rsidRPr="001A2A37">
        <w:rPr>
          <w:rFonts w:ascii="Arial Narrow" w:hAnsi="Arial Narrow" w:cs="Arial"/>
          <w:b/>
          <w:bCs/>
          <w:u w:val="single"/>
        </w:rPr>
        <w:t>Onde</w:t>
      </w:r>
      <w:r w:rsidR="00F410EF" w:rsidRPr="00F410EF">
        <w:rPr>
          <w:rFonts w:ascii="Arial Narrow" w:hAnsi="Arial Narrow" w:cs="Arial"/>
          <w:b/>
          <w:bCs/>
          <w:u w:val="single"/>
        </w:rPr>
        <w:t xml:space="preserve"> se lê</w:t>
      </w:r>
      <w:r w:rsidRPr="001A2A37">
        <w:rPr>
          <w:rFonts w:ascii="Arial Narrow" w:hAnsi="Arial Narrow" w:cs="Arial"/>
          <w:b/>
          <w:bCs/>
          <w:u w:val="single"/>
        </w:rPr>
        <w:t xml:space="preserve">: </w:t>
      </w:r>
    </w:p>
    <w:p w14:paraId="578D1D9A" w14:textId="1B84C97A" w:rsidR="00F410EF" w:rsidRDefault="00F410EF" w:rsidP="001A2A37">
      <w:pPr>
        <w:jc w:val="both"/>
        <w:rPr>
          <w:rFonts w:ascii="Arial Narrow" w:hAnsi="Arial Narrow" w:cs="Arial"/>
        </w:rPr>
      </w:pPr>
    </w:p>
    <w:p w14:paraId="0A1757E8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13.8. Constituem partes integrantes e complementares deste instrumento os seguintes anexos:</w:t>
      </w:r>
      <w:r w:rsidRPr="007F7A88"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3C94208B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19B1565B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 I - Termo de Referência </w:t>
      </w:r>
      <w:r w:rsidRPr="007F7A88"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434A9D14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IA - manual de desenvolvimento seguro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2078CEB3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IB - documento de arquitetura de software - parte 1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559E78FA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IB - documento de arquitetura de software - parte 2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3B93E164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IB - documento de arquitetura de software - parte 3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333A999D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IC - guia de utilização (</w:t>
      </w:r>
      <w:proofErr w:type="spellStart"/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git</w:t>
      </w:r>
      <w:proofErr w:type="spellEnd"/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)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6A23DF2B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ID - guia de métricas (</w:t>
      </w:r>
      <w:proofErr w:type="spellStart"/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  <w:shd w:val="clear" w:color="auto" w:fill="FFFF00"/>
        </w:rPr>
        <w:t>sti</w:t>
      </w:r>
      <w:proofErr w:type="spellEnd"/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  <w:shd w:val="clear" w:color="auto" w:fill="FFFF00"/>
        </w:rPr>
        <w:t>)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  <w:shd w:val="clear" w:color="auto" w:fill="FFFF00"/>
        </w:rPr>
        <w:t> </w:t>
      </w:r>
    </w:p>
    <w:p w14:paraId="7D356B3B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IE - método de gestão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  <w:shd w:val="clear" w:color="auto" w:fill="FFFF00"/>
        </w:rPr>
        <w:t> </w:t>
      </w:r>
    </w:p>
    <w:p w14:paraId="055FA4E2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IF - time técnico de manutenção corretiva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  <w:shd w:val="clear" w:color="auto" w:fill="FFFF00"/>
        </w:rPr>
        <w:t> </w:t>
      </w:r>
    </w:p>
    <w:p w14:paraId="41451BB0" w14:textId="77777777" w:rsidR="007F7A88" w:rsidRPr="007F7A88" w:rsidRDefault="007F7A88" w:rsidP="007F7A88">
      <w:pPr>
        <w:shd w:val="clear" w:color="auto" w:fill="FFFFFF"/>
        <w:spacing w:line="278" w:lineRule="atLeast"/>
        <w:ind w:right="282"/>
        <w:jc w:val="both"/>
        <w:outlineLvl w:val="1"/>
        <w:rPr>
          <w:rFonts w:ascii="Calibri Light" w:hAnsi="Calibri Light" w:cs="Calibri Light"/>
          <w:color w:val="2E74B5"/>
          <w:sz w:val="26"/>
          <w:szCs w:val="26"/>
        </w:rPr>
      </w:pPr>
      <w:r w:rsidRPr="007F7A88">
        <w:rPr>
          <w:rFonts w:ascii="Arial Narrow" w:hAnsi="Arial Narrow" w:cs="Calibri Light"/>
          <w:color w:val="000000"/>
          <w:sz w:val="22"/>
          <w:szCs w:val="22"/>
          <w:bdr w:val="none" w:sz="0" w:space="0" w:color="auto" w:frame="1"/>
        </w:rPr>
        <w:t>Anexo IG - time técnico de desenvolvimento e manutenção evolutiva</w:t>
      </w:r>
      <w:r w:rsidRPr="007F7A88">
        <w:rPr>
          <w:rFonts w:ascii="Arial Narrow" w:hAnsi="Arial Narrow" w:cs="Calibri Light"/>
          <w:color w:val="1F5DA5"/>
          <w:sz w:val="22"/>
          <w:szCs w:val="22"/>
          <w:bdr w:val="none" w:sz="0" w:space="0" w:color="auto" w:frame="1"/>
        </w:rPr>
        <w:t> </w:t>
      </w:r>
    </w:p>
    <w:p w14:paraId="13440183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 Anexo II – Modelo de Proposta de Preços </w:t>
      </w:r>
      <w:r w:rsidRPr="007F7A88"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32FAB883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Anexo III – Minuta do Contrato – Condições Gerais e Específicas </w:t>
      </w:r>
    </w:p>
    <w:p w14:paraId="57853CB9" w14:textId="77777777" w:rsidR="007F7A88" w:rsidRPr="007F7A88" w:rsidRDefault="007F7A88" w:rsidP="007F7A88">
      <w:pPr>
        <w:shd w:val="clear" w:color="auto" w:fill="FFFFFF"/>
        <w:ind w:right="282"/>
        <w:jc w:val="both"/>
        <w:rPr>
          <w:color w:val="000000"/>
        </w:rPr>
      </w:pPr>
      <w:r w:rsidRPr="007F7A88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Anexo IV - Instruções para credenciamento no portal de compras </w:t>
      </w:r>
    </w:p>
    <w:p w14:paraId="50321420" w14:textId="77777777" w:rsidR="007F7A88" w:rsidRDefault="007F7A88" w:rsidP="001A2A37">
      <w:pPr>
        <w:jc w:val="both"/>
        <w:rPr>
          <w:rFonts w:ascii="Arial Narrow" w:hAnsi="Arial Narrow" w:cs="Arial"/>
        </w:rPr>
      </w:pPr>
    </w:p>
    <w:p w14:paraId="0822A9AC" w14:textId="1B37607D" w:rsidR="00F410EF" w:rsidRPr="00F410EF" w:rsidRDefault="001A2A37" w:rsidP="001A2A37">
      <w:pPr>
        <w:jc w:val="both"/>
        <w:rPr>
          <w:rFonts w:ascii="Arial Narrow" w:hAnsi="Arial Narrow" w:cs="Arial"/>
          <w:b/>
          <w:bCs/>
          <w:u w:val="single"/>
        </w:rPr>
      </w:pPr>
      <w:r w:rsidRPr="001A2A37">
        <w:rPr>
          <w:rFonts w:ascii="Arial Narrow" w:hAnsi="Arial Narrow" w:cs="Arial"/>
          <w:b/>
          <w:bCs/>
          <w:u w:val="single"/>
        </w:rPr>
        <w:t>Leia</w:t>
      </w:r>
      <w:r w:rsidR="00F410EF" w:rsidRPr="00F410EF">
        <w:rPr>
          <w:rFonts w:ascii="Arial Narrow" w:hAnsi="Arial Narrow" w:cs="Arial"/>
          <w:b/>
          <w:bCs/>
          <w:u w:val="single"/>
        </w:rPr>
        <w:t>-se</w:t>
      </w:r>
      <w:r w:rsidRPr="001A2A37">
        <w:rPr>
          <w:rFonts w:ascii="Arial Narrow" w:hAnsi="Arial Narrow" w:cs="Arial"/>
          <w:b/>
          <w:bCs/>
          <w:u w:val="single"/>
        </w:rPr>
        <w:t xml:space="preserve">: </w:t>
      </w:r>
    </w:p>
    <w:bookmarkEnd w:id="2"/>
    <w:p w14:paraId="34D3D1EC" w14:textId="77777777" w:rsidR="00F410EF" w:rsidRDefault="00F410EF" w:rsidP="001A2A37">
      <w:pPr>
        <w:jc w:val="both"/>
        <w:rPr>
          <w:rFonts w:ascii="Arial Narrow" w:hAnsi="Arial Narrow" w:cs="Arial"/>
        </w:rPr>
      </w:pPr>
    </w:p>
    <w:p w14:paraId="688F004A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13.8. Constituem partes integrantes e complementares deste instrumento os seguintes anexos:</w:t>
      </w:r>
      <w:r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510B010E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2E345EB0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 I - Termo de Referência </w:t>
      </w:r>
      <w:r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2A214F4B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IA - Manual de desenvolvimento seguro </w:t>
      </w:r>
    </w:p>
    <w:p w14:paraId="5AEBC36A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IB - Documento de arquitetura de software - parte 1 </w:t>
      </w:r>
    </w:p>
    <w:p w14:paraId="21B4AB2D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IB - Documento de arquitetura de software - parte 2 </w:t>
      </w:r>
    </w:p>
    <w:p w14:paraId="2B17A5E1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IB - Documento de arquitetura de software - parte 3 </w:t>
      </w:r>
    </w:p>
    <w:p w14:paraId="45437BFC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IC - Guia de utilização (GIT) </w:t>
      </w:r>
    </w:p>
    <w:p w14:paraId="48F844D1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ID - Time técnico de manutenção corretiva </w:t>
      </w:r>
    </w:p>
    <w:p w14:paraId="7774F0B2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IE - Guia de métricas (STI) </w:t>
      </w:r>
    </w:p>
    <w:p w14:paraId="5C42D6A5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00"/>
        </w:rPr>
        <w:t>Anexo IF - Método de gestão para os serviços de desenvolvimento e manutenção evolutiva. </w:t>
      </w:r>
    </w:p>
    <w:p w14:paraId="0B316D0F" w14:textId="77777777" w:rsidR="007F7A88" w:rsidRDefault="007F7A88" w:rsidP="007F7A88">
      <w:pPr>
        <w:pStyle w:val="xxxmsonormal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  <w:shd w:val="clear" w:color="auto" w:fill="FFFFFF"/>
        </w:rPr>
        <w:t>Anexo IG - Time técnico de desenvolvimento e manutenção evolutiva </w:t>
      </w:r>
    </w:p>
    <w:p w14:paraId="02318842" w14:textId="77777777" w:rsidR="007F7A88" w:rsidRDefault="007F7A88" w:rsidP="007F7A8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 Anexo II – Modelo de Proposta de Preços </w:t>
      </w:r>
      <w:r>
        <w:rPr>
          <w:rFonts w:ascii="Arial Narrow" w:hAnsi="Arial Narrow"/>
          <w:color w:val="1F5DA5"/>
          <w:sz w:val="22"/>
          <w:szCs w:val="22"/>
          <w:bdr w:val="none" w:sz="0" w:space="0" w:color="auto" w:frame="1"/>
        </w:rPr>
        <w:t> </w:t>
      </w:r>
    </w:p>
    <w:p w14:paraId="4144FB1B" w14:textId="77777777" w:rsidR="007F7A88" w:rsidRDefault="007F7A88" w:rsidP="007F7A88">
      <w:pPr>
        <w:pStyle w:val="xxxmsonormal"/>
        <w:shd w:val="clear" w:color="auto" w:fill="FFFFFF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Anexo III – Minuta do Contrato – Condições Gerais e Específicas </w:t>
      </w:r>
    </w:p>
    <w:p w14:paraId="0E621E52" w14:textId="77777777" w:rsidR="007F7A88" w:rsidRDefault="007F7A88" w:rsidP="007F7A88">
      <w:pPr>
        <w:pStyle w:val="xxxmsonormal"/>
        <w:shd w:val="clear" w:color="auto" w:fill="FFFFFF"/>
        <w:spacing w:before="0" w:beforeAutospacing="0" w:after="0" w:afterAutospacing="0"/>
        <w:ind w:right="282"/>
        <w:jc w:val="both"/>
        <w:textAlignment w:val="baseline"/>
      </w:pP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Anexo IV - Instruções para credenciamento no portal de compras </w:t>
      </w:r>
    </w:p>
    <w:p w14:paraId="6531DC4B" w14:textId="45432BF0" w:rsidR="007F7A88" w:rsidRDefault="007F7A88" w:rsidP="007F7A88">
      <w:pPr>
        <w:textAlignment w:val="baseline"/>
        <w:rPr>
          <w:rFonts w:ascii="inherit" w:hAnsi="inherit"/>
        </w:rPr>
      </w:pPr>
    </w:p>
    <w:p w14:paraId="3CF976C5" w14:textId="494E4293" w:rsidR="007F7A88" w:rsidRDefault="007F7A88" w:rsidP="007F7A88">
      <w:pPr>
        <w:textAlignment w:val="baseline"/>
        <w:rPr>
          <w:rFonts w:ascii="inherit" w:hAnsi="inherit"/>
        </w:rPr>
      </w:pPr>
    </w:p>
    <w:p w14:paraId="582336D4" w14:textId="717E2D42" w:rsidR="007F7A88" w:rsidRDefault="007F7A88" w:rsidP="007F7A88">
      <w:pPr>
        <w:jc w:val="both"/>
        <w:rPr>
          <w:rFonts w:ascii="Arial Narrow" w:hAnsi="Arial Narrow" w:cs="Arial"/>
        </w:rPr>
      </w:pPr>
      <w:r w:rsidRPr="001A2A37">
        <w:rPr>
          <w:rFonts w:ascii="Arial Narrow" w:hAnsi="Arial Narrow" w:cs="Arial"/>
        </w:rPr>
        <w:lastRenderedPageBreak/>
        <w:t>N</w:t>
      </w:r>
      <w:r>
        <w:rPr>
          <w:rFonts w:ascii="Arial Narrow" w:hAnsi="Arial Narrow" w:cs="Arial"/>
        </w:rPr>
        <w:t xml:space="preserve">as Condições Gerais de Contratação – </w:t>
      </w:r>
    </w:p>
    <w:p w14:paraId="109B2FEB" w14:textId="77777777" w:rsidR="007F7A88" w:rsidRDefault="007F7A88" w:rsidP="007F7A88">
      <w:pPr>
        <w:jc w:val="both"/>
        <w:rPr>
          <w:rFonts w:ascii="Arial Narrow" w:hAnsi="Arial Narrow" w:cs="Arial"/>
        </w:rPr>
      </w:pPr>
    </w:p>
    <w:p w14:paraId="59FB520F" w14:textId="2C8A166D" w:rsidR="007F7A88" w:rsidRDefault="007F7A88" w:rsidP="007F7A8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254D0C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CLÁUSULA QUINTA - DA CONFIDENCIALIDADE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E NÃO CONCORRÊNCIA</w:t>
      </w:r>
    </w:p>
    <w:p w14:paraId="1678C167" w14:textId="77777777" w:rsidR="008747CD" w:rsidRDefault="008747CD" w:rsidP="007F7A8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</w:p>
    <w:p w14:paraId="488B1516" w14:textId="34C57726" w:rsidR="007F7A88" w:rsidRPr="00254D0C" w:rsidRDefault="007F7A88" w:rsidP="007F7A88">
      <w:pPr>
        <w:pStyle w:val="xxmsonormal"/>
        <w:shd w:val="clear" w:color="auto" w:fill="FFFFFF"/>
        <w:spacing w:before="0" w:beforeAutospacing="0" w:after="0" w:afterAutospacing="0"/>
        <w:ind w:right="282"/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Item 5.</w:t>
      </w:r>
      <w:r w:rsidR="008747CD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6</w:t>
      </w:r>
      <w:r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>.</w:t>
      </w:r>
    </w:p>
    <w:p w14:paraId="7824B115" w14:textId="32AA7588" w:rsidR="007F7A88" w:rsidRDefault="007F7A88">
      <w:pPr>
        <w:rPr>
          <w:b/>
          <w:u w:val="single"/>
        </w:rPr>
      </w:pPr>
    </w:p>
    <w:p w14:paraId="12B6F535" w14:textId="77777777" w:rsidR="007F7A88" w:rsidRPr="00F410EF" w:rsidRDefault="007F7A88" w:rsidP="007F7A88">
      <w:pPr>
        <w:jc w:val="both"/>
        <w:rPr>
          <w:rFonts w:ascii="Arial Narrow" w:hAnsi="Arial Narrow" w:cs="Arial"/>
          <w:b/>
          <w:bCs/>
          <w:u w:val="single"/>
        </w:rPr>
      </w:pPr>
      <w:r w:rsidRPr="001A2A37">
        <w:rPr>
          <w:rFonts w:ascii="Arial Narrow" w:hAnsi="Arial Narrow" w:cs="Arial"/>
          <w:b/>
          <w:bCs/>
          <w:u w:val="single"/>
        </w:rPr>
        <w:t>Onde</w:t>
      </w:r>
      <w:r w:rsidRPr="00F410EF">
        <w:rPr>
          <w:rFonts w:ascii="Arial Narrow" w:hAnsi="Arial Narrow" w:cs="Arial"/>
          <w:b/>
          <w:bCs/>
          <w:u w:val="single"/>
        </w:rPr>
        <w:t xml:space="preserve"> se lê</w:t>
      </w:r>
      <w:r w:rsidRPr="001A2A37">
        <w:rPr>
          <w:rFonts w:ascii="Arial Narrow" w:hAnsi="Arial Narrow" w:cs="Arial"/>
          <w:b/>
          <w:bCs/>
          <w:u w:val="single"/>
        </w:rPr>
        <w:t xml:space="preserve">: </w:t>
      </w:r>
    </w:p>
    <w:p w14:paraId="0FE9AB94" w14:textId="77777777" w:rsidR="007F7A88" w:rsidRDefault="007F7A88" w:rsidP="007F7A88">
      <w:pPr>
        <w:jc w:val="both"/>
        <w:rPr>
          <w:rFonts w:ascii="Arial Narrow" w:hAnsi="Arial Narrow" w:cs="Arial"/>
        </w:rPr>
      </w:pPr>
    </w:p>
    <w:p w14:paraId="078A92F7" w14:textId="2D66EF1D" w:rsidR="007F7A88" w:rsidRDefault="007F7A88" w:rsidP="007F7A88">
      <w:pPr>
        <w:jc w:val="both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/>
          <w:color w:val="000000"/>
          <w:sz w:val="22"/>
          <w:szCs w:val="22"/>
          <w:shd w:val="clear" w:color="auto" w:fill="FFFFFF"/>
        </w:rPr>
        <w:t>5.6. Durante a vigência deste contrato, bem como pelo período de 24(vinte e quatro meses) após seu término, a CONTRATADA se compromete a não explorar, direta ou indiretamente, todos os produtos desenvolvidos por meio deste contrato, nem trabalhar os clientes envolvidos e conquistados, sob pena de multa no valor de 50% do valor estimado deste contrato. </w:t>
      </w:r>
    </w:p>
    <w:p w14:paraId="045AE623" w14:textId="77777777" w:rsidR="007F7A88" w:rsidRDefault="007F7A88" w:rsidP="007F7A88">
      <w:pPr>
        <w:jc w:val="both"/>
        <w:rPr>
          <w:rFonts w:ascii="Arial Narrow" w:hAnsi="Arial Narrow" w:cs="Arial"/>
          <w:b/>
          <w:bCs/>
          <w:u w:val="single"/>
        </w:rPr>
      </w:pPr>
    </w:p>
    <w:p w14:paraId="1267FE85" w14:textId="6A34BD9B" w:rsidR="007F7A88" w:rsidRPr="00F410EF" w:rsidRDefault="007F7A88" w:rsidP="007F7A88">
      <w:pPr>
        <w:jc w:val="both"/>
        <w:rPr>
          <w:rFonts w:ascii="Arial Narrow" w:hAnsi="Arial Narrow" w:cs="Arial"/>
          <w:b/>
          <w:bCs/>
          <w:u w:val="single"/>
        </w:rPr>
      </w:pPr>
      <w:r w:rsidRPr="001A2A37">
        <w:rPr>
          <w:rFonts w:ascii="Arial Narrow" w:hAnsi="Arial Narrow" w:cs="Arial"/>
          <w:b/>
          <w:bCs/>
          <w:u w:val="single"/>
        </w:rPr>
        <w:t>Leia</w:t>
      </w:r>
      <w:r w:rsidRPr="00F410EF">
        <w:rPr>
          <w:rFonts w:ascii="Arial Narrow" w:hAnsi="Arial Narrow" w:cs="Arial"/>
          <w:b/>
          <w:bCs/>
          <w:u w:val="single"/>
        </w:rPr>
        <w:t>-se</w:t>
      </w:r>
      <w:r w:rsidRPr="001A2A37">
        <w:rPr>
          <w:rFonts w:ascii="Arial Narrow" w:hAnsi="Arial Narrow" w:cs="Arial"/>
          <w:b/>
          <w:bCs/>
          <w:u w:val="single"/>
        </w:rPr>
        <w:t xml:space="preserve">: </w:t>
      </w:r>
    </w:p>
    <w:p w14:paraId="506BA278" w14:textId="69D6D2B1" w:rsidR="007F7A88" w:rsidRDefault="007F7A88">
      <w:pPr>
        <w:rPr>
          <w:b/>
          <w:u w:val="single"/>
        </w:rPr>
      </w:pPr>
    </w:p>
    <w:p w14:paraId="715DB3BA" w14:textId="7CC33A53" w:rsidR="007F7A88" w:rsidRDefault="007F7A88" w:rsidP="007F7A88">
      <w:pPr>
        <w:jc w:val="both"/>
        <w:rPr>
          <w:b/>
          <w:u w:val="single"/>
        </w:rPr>
      </w:pPr>
      <w:r>
        <w:rPr>
          <w:rFonts w:ascii="Arial Narrow" w:hAnsi="Arial Narrow"/>
          <w:color w:val="000000"/>
          <w:sz w:val="22"/>
          <w:szCs w:val="22"/>
          <w:shd w:val="clear" w:color="auto" w:fill="FFFFFF"/>
        </w:rPr>
        <w:t>5.6. A CONTRATADA se compromete a não explorar, direta ou indiretamente, todos os produtos desenvolvidos por meio deste contrato, nem trabalhar os clientes envolvidos e conquistados, sob pena de multa no valor de 50% do valor estimado deste contrato. </w:t>
      </w:r>
    </w:p>
    <w:p w14:paraId="03C892F4" w14:textId="40BA5B14" w:rsidR="007F7A88" w:rsidRDefault="007F7A88" w:rsidP="007F7A88">
      <w:pPr>
        <w:jc w:val="both"/>
        <w:rPr>
          <w:b/>
          <w:u w:val="single"/>
        </w:rPr>
      </w:pPr>
    </w:p>
    <w:p w14:paraId="4844F032" w14:textId="17BF9784" w:rsidR="007F7A88" w:rsidRDefault="007F7A88">
      <w:pPr>
        <w:rPr>
          <w:b/>
          <w:u w:val="single"/>
        </w:rPr>
      </w:pPr>
    </w:p>
    <w:p w14:paraId="2C246544" w14:textId="0B4DB208" w:rsidR="007F7A88" w:rsidRDefault="007F7A88">
      <w:pPr>
        <w:rPr>
          <w:b/>
          <w:u w:val="single"/>
        </w:rPr>
      </w:pPr>
    </w:p>
    <w:p w14:paraId="3EB38598" w14:textId="77777777" w:rsidR="007F7A88" w:rsidRDefault="007F7A88">
      <w:pPr>
        <w:rPr>
          <w:b/>
          <w:u w:val="single"/>
        </w:rPr>
      </w:pPr>
    </w:p>
    <w:p w14:paraId="28F64CD8" w14:textId="77777777" w:rsidR="00344473" w:rsidRPr="00905EFE" w:rsidRDefault="00344473" w:rsidP="00344473">
      <w:pPr>
        <w:shd w:val="clear" w:color="auto" w:fill="FFFFFF"/>
        <w:jc w:val="center"/>
        <w:rPr>
          <w:rFonts w:ascii="Arial Narrow" w:hAnsi="Arial Narrow"/>
          <w:b/>
        </w:rPr>
      </w:pPr>
      <w:r w:rsidRPr="00905EFE">
        <w:rPr>
          <w:rFonts w:ascii="Arial Narrow" w:hAnsi="Arial Narrow"/>
          <w:b/>
        </w:rPr>
        <w:t>Para todos os efeitos este documento passa a integrar o edital em referência.</w:t>
      </w:r>
    </w:p>
    <w:p w14:paraId="0BEEC70D" w14:textId="77777777" w:rsidR="00344473" w:rsidRPr="00905EFE" w:rsidRDefault="00344473" w:rsidP="00344473">
      <w:pPr>
        <w:shd w:val="clear" w:color="auto" w:fill="FFFFFF"/>
        <w:jc w:val="both"/>
        <w:rPr>
          <w:rFonts w:ascii="Arial Narrow" w:hAnsi="Arial Narrow"/>
          <w:color w:val="222222"/>
          <w:shd w:val="clear" w:color="auto" w:fill="FFFFFF"/>
        </w:rPr>
      </w:pPr>
    </w:p>
    <w:p w14:paraId="6256E343" w14:textId="77777777" w:rsidR="00F410EF" w:rsidRDefault="00F410EF" w:rsidP="00344473">
      <w:pPr>
        <w:jc w:val="right"/>
        <w:rPr>
          <w:rFonts w:ascii="Arial Narrow" w:hAnsi="Arial Narrow"/>
        </w:rPr>
      </w:pPr>
    </w:p>
    <w:p w14:paraId="3A595B41" w14:textId="00FFA905" w:rsidR="00344473" w:rsidRDefault="00344473" w:rsidP="00344473">
      <w:pPr>
        <w:jc w:val="right"/>
        <w:rPr>
          <w:rFonts w:ascii="Arial Narrow" w:hAnsi="Arial Narrow"/>
        </w:rPr>
      </w:pPr>
      <w:r w:rsidRPr="00905EFE">
        <w:rPr>
          <w:rFonts w:ascii="Arial Narrow" w:hAnsi="Arial Narrow"/>
        </w:rPr>
        <w:t xml:space="preserve">Brasília, </w:t>
      </w:r>
      <w:r w:rsidR="007F7A88">
        <w:rPr>
          <w:rFonts w:ascii="Arial Narrow" w:hAnsi="Arial Narrow"/>
        </w:rPr>
        <w:t>28</w:t>
      </w:r>
      <w:r w:rsidRPr="00905EFE">
        <w:rPr>
          <w:rFonts w:ascii="Arial Narrow" w:hAnsi="Arial Narrow"/>
        </w:rPr>
        <w:t xml:space="preserve"> de </w:t>
      </w:r>
      <w:r w:rsidR="007F7A88">
        <w:rPr>
          <w:rFonts w:ascii="Arial Narrow" w:hAnsi="Arial Narrow"/>
        </w:rPr>
        <w:t>abril</w:t>
      </w:r>
      <w:r w:rsidRPr="00905EFE">
        <w:rPr>
          <w:rFonts w:ascii="Arial Narrow" w:hAnsi="Arial Narrow"/>
        </w:rPr>
        <w:t xml:space="preserve"> de 202</w:t>
      </w:r>
      <w:r w:rsidR="001A2A37">
        <w:rPr>
          <w:rFonts w:ascii="Arial Narrow" w:hAnsi="Arial Narrow"/>
        </w:rPr>
        <w:t>1</w:t>
      </w:r>
      <w:r w:rsidRPr="00905EFE">
        <w:rPr>
          <w:rFonts w:ascii="Arial Narrow" w:hAnsi="Arial Narrow"/>
        </w:rPr>
        <w:t>.</w:t>
      </w:r>
    </w:p>
    <w:p w14:paraId="110EA542" w14:textId="77777777" w:rsidR="00344473" w:rsidRPr="00905EFE" w:rsidRDefault="00344473" w:rsidP="00344473">
      <w:pPr>
        <w:jc w:val="right"/>
        <w:rPr>
          <w:rFonts w:ascii="Arial Narrow" w:hAnsi="Arial Narrow"/>
        </w:rPr>
      </w:pPr>
    </w:p>
    <w:p w14:paraId="79E683E1" w14:textId="77777777" w:rsidR="00344473" w:rsidRDefault="00344473" w:rsidP="00344473">
      <w:pPr>
        <w:shd w:val="clear" w:color="auto" w:fill="FFFFFF"/>
        <w:rPr>
          <w:rFonts w:ascii="Arial Narrow" w:hAnsi="Arial Narrow"/>
          <w:color w:val="222222"/>
        </w:rPr>
      </w:pPr>
    </w:p>
    <w:p w14:paraId="1B5E43B4" w14:textId="77777777" w:rsidR="00F410EF" w:rsidRPr="00905EFE" w:rsidRDefault="00F410EF" w:rsidP="00344473">
      <w:pPr>
        <w:shd w:val="clear" w:color="auto" w:fill="FFFFFF"/>
        <w:rPr>
          <w:rFonts w:ascii="Arial Narrow" w:hAnsi="Arial Narrow"/>
          <w:color w:val="222222"/>
        </w:rPr>
      </w:pPr>
    </w:p>
    <w:p w14:paraId="0A5818B3" w14:textId="77777777" w:rsidR="00344473" w:rsidRPr="00905EFE" w:rsidRDefault="00344473" w:rsidP="00344473">
      <w:pPr>
        <w:jc w:val="center"/>
        <w:rPr>
          <w:rFonts w:ascii="Arial Narrow" w:hAnsi="Arial Narrow"/>
        </w:rPr>
      </w:pPr>
      <w:r w:rsidRPr="00905EFE">
        <w:rPr>
          <w:rFonts w:ascii="Arial Narrow" w:hAnsi="Arial Narrow"/>
        </w:rPr>
        <w:t>___________________________________</w:t>
      </w:r>
    </w:p>
    <w:p w14:paraId="70B8495D" w14:textId="77777777" w:rsidR="00344473" w:rsidRPr="00905EFE" w:rsidRDefault="00344473" w:rsidP="00344473">
      <w:pPr>
        <w:jc w:val="center"/>
        <w:rPr>
          <w:rFonts w:ascii="Arial Narrow" w:hAnsi="Arial Narrow"/>
        </w:rPr>
      </w:pPr>
      <w:r w:rsidRPr="00905EFE">
        <w:rPr>
          <w:rFonts w:ascii="Arial Narrow" w:hAnsi="Arial Narrow"/>
        </w:rPr>
        <w:t>Comissão Permanente de Licitação - CPL</w:t>
      </w:r>
    </w:p>
    <w:p w14:paraId="68E379C8" w14:textId="77777777" w:rsidR="00344473" w:rsidRPr="00344473" w:rsidRDefault="00344473">
      <w:pPr>
        <w:rPr>
          <w:b/>
          <w:u w:val="single"/>
        </w:rPr>
      </w:pPr>
    </w:p>
    <w:sectPr w:rsidR="00344473" w:rsidRPr="00344473" w:rsidSect="007016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7464" w14:textId="77777777" w:rsidR="00F410EF" w:rsidRDefault="00F410EF" w:rsidP="00F410EF">
      <w:r>
        <w:separator/>
      </w:r>
    </w:p>
  </w:endnote>
  <w:endnote w:type="continuationSeparator" w:id="0">
    <w:p w14:paraId="75748321" w14:textId="77777777" w:rsidR="00F410EF" w:rsidRDefault="00F410EF" w:rsidP="00F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B652" w14:textId="77777777" w:rsidR="00F410EF" w:rsidRPr="00F410EF" w:rsidRDefault="00F410EF">
    <w:pPr>
      <w:pStyle w:val="Rodap"/>
      <w:rPr>
        <w:rFonts w:ascii="Arial" w:hAnsi="Arial" w:cs="Arial"/>
        <w:sz w:val="11"/>
        <w:szCs w:val="11"/>
      </w:rPr>
    </w:pPr>
    <w:r w:rsidRPr="00F410EF">
      <w:rPr>
        <w:rFonts w:ascii="Arial" w:hAnsi="Arial" w:cs="Arial"/>
        <w:sz w:val="11"/>
        <w:szCs w:val="11"/>
      </w:rPr>
      <w:fldChar w:fldCharType="begin"/>
    </w:r>
    <w:r w:rsidRPr="00F410EF">
      <w:rPr>
        <w:rFonts w:ascii="Arial" w:hAnsi="Arial" w:cs="Arial"/>
        <w:sz w:val="11"/>
        <w:szCs w:val="11"/>
      </w:rPr>
      <w:instrText xml:space="preserve"> FILENAME  \p  \* MERGEFORMAT </w:instrText>
    </w:r>
    <w:r w:rsidRPr="00F410EF">
      <w:rPr>
        <w:rFonts w:ascii="Arial" w:hAnsi="Arial" w:cs="Arial"/>
        <w:sz w:val="11"/>
        <w:szCs w:val="11"/>
      </w:rPr>
      <w:fldChar w:fldCharType="separate"/>
    </w:r>
    <w:r w:rsidRPr="00F410EF">
      <w:rPr>
        <w:rFonts w:ascii="Arial" w:hAnsi="Arial" w:cs="Arial"/>
        <w:noProof/>
        <w:sz w:val="11"/>
        <w:szCs w:val="11"/>
      </w:rPr>
      <w:t>H:\GECOM\z.CPL\Editais-Inex-Disp\2.PP\PP 2021\PP 1-2021 - Suporte Service Desk\5. Esclarecimentos-Atas-Recursos-Contrarrazões\Errata1 - PP 01-2021.docx</w:t>
    </w:r>
    <w:r w:rsidRPr="00F410EF">
      <w:rPr>
        <w:rFonts w:ascii="Arial" w:hAnsi="Arial" w:cs="Arial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3D760" w14:textId="77777777" w:rsidR="00F410EF" w:rsidRDefault="00F410EF" w:rsidP="00F410EF">
      <w:r>
        <w:separator/>
      </w:r>
    </w:p>
  </w:footnote>
  <w:footnote w:type="continuationSeparator" w:id="0">
    <w:p w14:paraId="1FE5A390" w14:textId="77777777" w:rsidR="00F410EF" w:rsidRDefault="00F410EF" w:rsidP="00F4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9410" w14:textId="5015DC57" w:rsidR="00F410EF" w:rsidRDefault="008747CD" w:rsidP="008747CD">
    <w:pPr>
      <w:pStyle w:val="Cabealho"/>
      <w:jc w:val="center"/>
    </w:pPr>
    <w:r w:rsidRPr="000473B1">
      <w:rPr>
        <w:noProof/>
      </w:rPr>
      <w:drawing>
        <wp:inline distT="0" distB="0" distL="0" distR="0" wp14:anchorId="71B2D37D" wp14:editId="74685319">
          <wp:extent cx="1552809" cy="582530"/>
          <wp:effectExtent l="0" t="0" r="0" b="8255"/>
          <wp:docPr id="11" name="Imagem 11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189" cy="61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F042E"/>
    <w:multiLevelType w:val="multilevel"/>
    <w:tmpl w:val="492437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u w:val="none"/>
      </w:rPr>
    </w:lvl>
    <w:lvl w:ilvl="3">
      <w:start w:val="1"/>
      <w:numFmt w:val="decimal"/>
      <w:lvlText w:val="%1.%2.%3."/>
      <w:lvlJc w:val="left"/>
      <w:pPr>
        <w:ind w:left="1728" w:hanging="647"/>
      </w:pPr>
      <w:rPr>
        <w:b/>
        <w:u w:val="none"/>
      </w:rPr>
    </w:lvl>
    <w:lvl w:ilvl="4">
      <w:start w:val="1"/>
      <w:numFmt w:val="decimal"/>
      <w:lvlText w:val="%1.%2.%3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43D167FD"/>
    <w:multiLevelType w:val="hybridMultilevel"/>
    <w:tmpl w:val="A28EBD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55"/>
    <w:rsid w:val="00027EF7"/>
    <w:rsid w:val="001A2A37"/>
    <w:rsid w:val="002853AD"/>
    <w:rsid w:val="00344473"/>
    <w:rsid w:val="003F3555"/>
    <w:rsid w:val="004C6D60"/>
    <w:rsid w:val="004D2103"/>
    <w:rsid w:val="00701032"/>
    <w:rsid w:val="007016BF"/>
    <w:rsid w:val="007B301E"/>
    <w:rsid w:val="007F7A88"/>
    <w:rsid w:val="008747CD"/>
    <w:rsid w:val="00A743C7"/>
    <w:rsid w:val="00E42667"/>
    <w:rsid w:val="00EB2ACD"/>
    <w:rsid w:val="00F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529A9"/>
  <w15:docId w15:val="{9F81FE22-44B4-4E0D-9854-F013F04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3F35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7A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35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55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A2A3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2A3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41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0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0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7A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customStyle="1" w:styleId="xxxmsonormal">
    <w:name w:val="x_xxmsonormal"/>
    <w:basedOn w:val="Normal"/>
    <w:rsid w:val="007F7A88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7F7A88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F7A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F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F97B02647F5410E8A357E06CFC78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72D3C-45D1-467F-8DA5-7D3CA5A8D8E5}"/>
      </w:docPartPr>
      <w:docPartBody>
        <w:p w:rsidR="00A1474B" w:rsidRDefault="00713810" w:rsidP="00713810">
          <w:pPr>
            <w:pStyle w:val="3F97B02647F5410E8A357E06CFC785EB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810"/>
    <w:rsid w:val="00713810"/>
    <w:rsid w:val="00A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3810"/>
    <w:rPr>
      <w:color w:val="808080"/>
    </w:rPr>
  </w:style>
  <w:style w:type="paragraph" w:customStyle="1" w:styleId="3F97B02647F5410E8A357E06CFC785EB">
    <w:name w:val="3F97B02647F5410E8A357E06CFC785EB"/>
    <w:rsid w:val="00713810"/>
  </w:style>
  <w:style w:type="paragraph" w:customStyle="1" w:styleId="46A83D4E0A88491BA1ACF4826410C0C3">
    <w:name w:val="46A83D4E0A88491BA1ACF4826410C0C3"/>
    <w:rsid w:val="00713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Nígia Rafaela Fernandes Maluf</cp:lastModifiedBy>
  <cp:revision>4</cp:revision>
  <dcterms:created xsi:type="dcterms:W3CDTF">2021-01-21T11:48:00Z</dcterms:created>
  <dcterms:modified xsi:type="dcterms:W3CDTF">2021-04-28T16:01:00Z</dcterms:modified>
</cp:coreProperties>
</file>