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2888" w14:textId="77777777" w:rsidR="00D73491" w:rsidRPr="00C52947" w:rsidRDefault="00D73491" w:rsidP="00C52947">
      <w:pPr>
        <w:spacing w:after="0" w:line="240" w:lineRule="auto"/>
        <w:rPr>
          <w:rFonts w:ascii="Arial Narrow" w:hAnsi="Arial Narrow"/>
          <w:sz w:val="24"/>
          <w:szCs w:val="24"/>
        </w:rPr>
      </w:pPr>
    </w:p>
    <w:p w14:paraId="6DE8CC57" w14:textId="50B3233F" w:rsidR="00D73491" w:rsidRPr="00C52947" w:rsidRDefault="00D73491" w:rsidP="00C52947">
      <w:pPr>
        <w:spacing w:after="0" w:line="240" w:lineRule="auto"/>
        <w:jc w:val="center"/>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ESCLARECIMENTO</w:t>
      </w:r>
    </w:p>
    <w:p w14:paraId="16F40D3C" w14:textId="77777777" w:rsidR="00D73491" w:rsidRPr="00C52947" w:rsidRDefault="00D73491" w:rsidP="00C52947">
      <w:pPr>
        <w:spacing w:after="0" w:line="240" w:lineRule="auto"/>
        <w:jc w:val="center"/>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 xml:space="preserve">SELEÇÃO COM DISPUTA NA FORMA ABERTA PELO PROCEDIMENTO REMOTO Nº </w:t>
      </w:r>
      <w:bookmarkStart w:id="0" w:name="Texto33"/>
      <w:bookmarkEnd w:id="0"/>
      <w:r w:rsidRPr="00C52947">
        <w:rPr>
          <w:rFonts w:ascii="Arial Narrow" w:hAnsi="Arial Narrow" w:cs="Arial"/>
          <w:b/>
          <w:color w:val="000000" w:themeColor="text1"/>
          <w:sz w:val="24"/>
          <w:szCs w:val="24"/>
        </w:rPr>
        <w:t>124/2025</w:t>
      </w:r>
    </w:p>
    <w:p w14:paraId="2BAC725E" w14:textId="77777777" w:rsidR="00D73491" w:rsidRPr="00C52947" w:rsidRDefault="00D73491" w:rsidP="00C52947">
      <w:pPr>
        <w:pStyle w:val="Ttulo"/>
        <w:spacing w:after="0"/>
        <w:ind w:right="56"/>
        <w:contextualSpacing w:val="0"/>
        <w:jc w:val="center"/>
        <w:rPr>
          <w:rFonts w:ascii="Arial Narrow" w:eastAsia="Aptos" w:hAnsi="Arial Narrow" w:cs="Arial"/>
          <w:b/>
          <w:color w:val="000000" w:themeColor="text1"/>
          <w:spacing w:val="0"/>
          <w:kern w:val="0"/>
          <w:sz w:val="24"/>
          <w:szCs w:val="24"/>
        </w:rPr>
      </w:pPr>
    </w:p>
    <w:tbl>
      <w:tblPr>
        <w:tblW w:w="8505" w:type="dxa"/>
        <w:jc w:val="center"/>
        <w:tblLayout w:type="fixed"/>
        <w:tblCellMar>
          <w:left w:w="70" w:type="dxa"/>
          <w:right w:w="70" w:type="dxa"/>
        </w:tblCellMar>
        <w:tblLook w:val="0000" w:firstRow="0" w:lastRow="0" w:firstColumn="0" w:lastColumn="0" w:noHBand="0" w:noVBand="0"/>
      </w:tblPr>
      <w:tblGrid>
        <w:gridCol w:w="4815"/>
        <w:gridCol w:w="3690"/>
      </w:tblGrid>
      <w:tr w:rsidR="00D73491" w:rsidRPr="00C52947" w14:paraId="2775D4DE" w14:textId="77777777" w:rsidTr="008A79DC">
        <w:trPr>
          <w:cantSplit/>
          <w:trHeight w:val="368"/>
          <w:jc w:val="center"/>
        </w:trPr>
        <w:tc>
          <w:tcPr>
            <w:tcW w:w="4815" w:type="dxa"/>
            <w:tcBorders>
              <w:top w:val="single" w:sz="4" w:space="0" w:color="auto"/>
              <w:left w:val="single" w:sz="4" w:space="0" w:color="auto"/>
              <w:bottom w:val="single" w:sz="4" w:space="0" w:color="auto"/>
              <w:right w:val="single" w:sz="4" w:space="0" w:color="auto"/>
            </w:tcBorders>
            <w:vAlign w:val="center"/>
          </w:tcPr>
          <w:p w14:paraId="11AC4323" w14:textId="77777777" w:rsidR="00D73491" w:rsidRPr="00C52947" w:rsidRDefault="00D73491" w:rsidP="00C52947">
            <w:pPr>
              <w:pStyle w:val="Ttulo1"/>
              <w:spacing w:before="0" w:after="0" w:line="240" w:lineRule="auto"/>
              <w:rPr>
                <w:rFonts w:ascii="Arial Narrow" w:eastAsia="Aptos" w:hAnsi="Arial Narrow" w:cs="Arial"/>
                <w:b/>
                <w:color w:val="000000" w:themeColor="text1"/>
                <w:sz w:val="24"/>
                <w:szCs w:val="24"/>
              </w:rPr>
            </w:pPr>
            <w:r w:rsidRPr="00C52947">
              <w:rPr>
                <w:rFonts w:ascii="Arial Narrow" w:eastAsia="Aptos" w:hAnsi="Arial Narrow" w:cs="Arial"/>
                <w:b/>
                <w:color w:val="000000" w:themeColor="text1"/>
                <w:sz w:val="24"/>
                <w:szCs w:val="24"/>
              </w:rPr>
              <w:t>Processo nº. 00061/2025 e SC 226914</w:t>
            </w:r>
          </w:p>
        </w:tc>
        <w:tc>
          <w:tcPr>
            <w:tcW w:w="3690" w:type="dxa"/>
            <w:tcBorders>
              <w:top w:val="single" w:sz="4" w:space="0" w:color="auto"/>
              <w:left w:val="single" w:sz="4" w:space="0" w:color="auto"/>
              <w:bottom w:val="single" w:sz="4" w:space="0" w:color="auto"/>
              <w:right w:val="single" w:sz="4" w:space="0" w:color="auto"/>
            </w:tcBorders>
            <w:vAlign w:val="center"/>
          </w:tcPr>
          <w:p w14:paraId="18985807" w14:textId="77777777" w:rsidR="00D73491" w:rsidRPr="00C52947" w:rsidRDefault="00D73491" w:rsidP="00C52947">
            <w:pPr>
              <w:spacing w:after="0" w:line="240" w:lineRule="auto"/>
              <w:jc w:val="both"/>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Critério: Econômico pelo MENOR PREÇO</w:t>
            </w:r>
          </w:p>
        </w:tc>
      </w:tr>
      <w:tr w:rsidR="00D73491" w:rsidRPr="00C52947" w14:paraId="712159E9" w14:textId="77777777" w:rsidTr="008A79DC">
        <w:trPr>
          <w:cantSplit/>
          <w:trHeight w:val="279"/>
          <w:jc w:val="center"/>
        </w:trPr>
        <w:tc>
          <w:tcPr>
            <w:tcW w:w="4815" w:type="dxa"/>
            <w:tcBorders>
              <w:top w:val="single" w:sz="4" w:space="0" w:color="auto"/>
              <w:left w:val="single" w:sz="4" w:space="0" w:color="auto"/>
              <w:bottom w:val="single" w:sz="4" w:space="0" w:color="auto"/>
              <w:right w:val="single" w:sz="4" w:space="0" w:color="auto"/>
            </w:tcBorders>
          </w:tcPr>
          <w:p w14:paraId="6E7417B2" w14:textId="492A5B67" w:rsidR="00D73491" w:rsidRPr="00C52947" w:rsidRDefault="00D73491" w:rsidP="00C52947">
            <w:pPr>
              <w:spacing w:after="0" w:line="240" w:lineRule="auto"/>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 xml:space="preserve">Abertura:     </w:t>
            </w:r>
            <w:r w:rsidR="00E15D54" w:rsidRPr="00C52947">
              <w:rPr>
                <w:rFonts w:ascii="Arial Narrow" w:hAnsi="Arial Narrow" w:cs="Arial"/>
                <w:b/>
                <w:color w:val="000000" w:themeColor="text1"/>
                <w:sz w:val="24"/>
                <w:szCs w:val="24"/>
              </w:rPr>
              <w:t>8</w:t>
            </w:r>
            <w:r w:rsidRPr="00C52947">
              <w:rPr>
                <w:rFonts w:ascii="Arial Narrow" w:hAnsi="Arial Narrow" w:cs="Arial"/>
                <w:b/>
                <w:color w:val="000000" w:themeColor="text1"/>
                <w:sz w:val="24"/>
                <w:szCs w:val="24"/>
              </w:rPr>
              <w:t>/12/2025</w:t>
            </w:r>
          </w:p>
        </w:tc>
        <w:tc>
          <w:tcPr>
            <w:tcW w:w="3690" w:type="dxa"/>
            <w:tcBorders>
              <w:top w:val="single" w:sz="4" w:space="0" w:color="auto"/>
              <w:left w:val="single" w:sz="4" w:space="0" w:color="auto"/>
              <w:bottom w:val="single" w:sz="4" w:space="0" w:color="auto"/>
              <w:right w:val="single" w:sz="4" w:space="0" w:color="auto"/>
            </w:tcBorders>
          </w:tcPr>
          <w:p w14:paraId="76BDF9B4" w14:textId="77777777" w:rsidR="00D73491" w:rsidRPr="00C52947" w:rsidRDefault="00D73491" w:rsidP="00C52947">
            <w:pPr>
              <w:spacing w:after="0" w:line="240" w:lineRule="auto"/>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Horário: 10h</w:t>
            </w:r>
          </w:p>
        </w:tc>
      </w:tr>
      <w:tr w:rsidR="00D73491" w:rsidRPr="00C52947" w14:paraId="1B494932" w14:textId="77777777" w:rsidTr="008A79D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278332A9" w14:textId="77777777" w:rsidR="00D73491" w:rsidRPr="00C52947" w:rsidRDefault="00D73491" w:rsidP="00C52947">
            <w:pPr>
              <w:spacing w:after="0" w:line="240" w:lineRule="auto"/>
              <w:jc w:val="both"/>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Local: SBN, Quadra 1, Bloco C, Edifício Roberto Simonsen, 2º andar, CEP 70040-903</w:t>
            </w:r>
          </w:p>
          <w:p w14:paraId="6F3B5056" w14:textId="77777777" w:rsidR="00D73491" w:rsidRPr="00C52947" w:rsidRDefault="00D73491" w:rsidP="00C52947">
            <w:pPr>
              <w:spacing w:after="0" w:line="240" w:lineRule="auto"/>
              <w:jc w:val="both"/>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Brasília (DF) - Fone (61) 3317-8968</w:t>
            </w:r>
          </w:p>
          <w:p w14:paraId="5185F65E" w14:textId="77777777" w:rsidR="00D73491" w:rsidRPr="00C52947" w:rsidRDefault="00D73491" w:rsidP="00C52947">
            <w:pPr>
              <w:spacing w:after="0" w:line="240" w:lineRule="auto"/>
              <w:jc w:val="both"/>
              <w:rPr>
                <w:rFonts w:ascii="Arial Narrow" w:hAnsi="Arial Narrow" w:cs="Arial"/>
                <w:b/>
                <w:color w:val="000000" w:themeColor="text1"/>
                <w:sz w:val="24"/>
                <w:szCs w:val="24"/>
              </w:rPr>
            </w:pPr>
            <w:r w:rsidRPr="00C52947">
              <w:rPr>
                <w:rFonts w:ascii="Arial Narrow" w:hAnsi="Arial Narrow" w:cs="Arial"/>
                <w:b/>
                <w:color w:val="000000" w:themeColor="text1"/>
                <w:sz w:val="24"/>
                <w:szCs w:val="24"/>
              </w:rPr>
              <w:t xml:space="preserve"> – E-mail: processodeselecao@cni.com.br</w:t>
            </w:r>
          </w:p>
        </w:tc>
      </w:tr>
    </w:tbl>
    <w:p w14:paraId="6589BCDB" w14:textId="77777777" w:rsidR="00D73491" w:rsidRPr="00C52947" w:rsidRDefault="00D73491" w:rsidP="00C52947">
      <w:pPr>
        <w:autoSpaceDE w:val="0"/>
        <w:autoSpaceDN w:val="0"/>
        <w:adjustRightInd w:val="0"/>
        <w:spacing w:after="0" w:line="240" w:lineRule="auto"/>
        <w:jc w:val="both"/>
        <w:rPr>
          <w:rFonts w:ascii="Arial Narrow" w:hAnsi="Arial Narrow" w:cs="Arial"/>
          <w:color w:val="000000" w:themeColor="text1"/>
          <w:sz w:val="24"/>
          <w:szCs w:val="24"/>
        </w:rPr>
      </w:pPr>
    </w:p>
    <w:p w14:paraId="74A257B5" w14:textId="6C46977C" w:rsidR="00643D32" w:rsidRPr="00C52947" w:rsidRDefault="00643D32" w:rsidP="00C52947">
      <w:pPr>
        <w:spacing w:after="0" w:line="240" w:lineRule="auto"/>
        <w:jc w:val="both"/>
        <w:rPr>
          <w:rFonts w:ascii="Arial Narrow" w:hAnsi="Arial Narrow"/>
          <w:sz w:val="24"/>
          <w:szCs w:val="24"/>
        </w:rPr>
      </w:pPr>
      <w:r w:rsidRPr="00C52947">
        <w:rPr>
          <w:rFonts w:ascii="Arial Narrow" w:hAnsi="Arial Narrow"/>
          <w:sz w:val="24"/>
          <w:szCs w:val="24"/>
        </w:rPr>
        <w:t>Considerando o objeto do procedimento licitatório, que prevê o fornecimento de uma Plataforma Digital Educacional Adaptativa com Inteligência Artificial, em ambiente web e no modelo SaaS, destinada ao atendimento da Rede SESI de Educação e abrangendo acesso via Single Sign-On, integração com o Portal SESI – PENSE, manutenção da API, licenças de uso, suporte técnico, manutenção da plataforma e serviços de formação e atendimento ao usuário, entende-se ser necessária a obtenção de informações detalhadas acerca da correta composição da proposta comercial.  </w:t>
      </w:r>
    </w:p>
    <w:p w14:paraId="130BB0B2" w14:textId="77777777" w:rsidR="00643D32" w:rsidRPr="00C52947" w:rsidRDefault="00643D32" w:rsidP="00C52947">
      <w:pPr>
        <w:spacing w:after="0" w:line="240" w:lineRule="auto"/>
        <w:jc w:val="both"/>
        <w:rPr>
          <w:rFonts w:ascii="Arial Narrow" w:hAnsi="Arial Narrow"/>
          <w:sz w:val="24"/>
          <w:szCs w:val="24"/>
        </w:rPr>
      </w:pPr>
      <w:r w:rsidRPr="00C52947">
        <w:rPr>
          <w:rFonts w:ascii="Arial Narrow" w:hAnsi="Arial Narrow"/>
          <w:sz w:val="24"/>
          <w:szCs w:val="24"/>
        </w:rPr>
        <w:t>Diante da complexidade do objeto e das múltiplas naturezas de custos envolvidos, solicita-se a gentileza de esta Comissão esclarecer se a proposta comercial deve contemplar integralmente todos os custos necessários à implementação, operação e manutenção da solução, incluindo — mas não se limitando a:</w:t>
      </w:r>
    </w:p>
    <w:p w14:paraId="42864C8B" w14:textId="77777777" w:rsidR="00643D32" w:rsidRPr="00C52947" w:rsidRDefault="00643D32" w:rsidP="00C52947">
      <w:pPr>
        <w:numPr>
          <w:ilvl w:val="0"/>
          <w:numId w:val="1"/>
        </w:numPr>
        <w:spacing w:after="0" w:line="240" w:lineRule="auto"/>
        <w:rPr>
          <w:rFonts w:ascii="Arial Narrow" w:hAnsi="Arial Narrow"/>
          <w:sz w:val="24"/>
          <w:szCs w:val="24"/>
        </w:rPr>
      </w:pPr>
      <w:r w:rsidRPr="00C52947">
        <w:rPr>
          <w:rFonts w:ascii="Arial Narrow" w:hAnsi="Arial Narrow"/>
          <w:sz w:val="24"/>
          <w:szCs w:val="24"/>
        </w:rPr>
        <w:t>custos de investimento ou implantação inicial;</w:t>
      </w:r>
    </w:p>
    <w:p w14:paraId="35334CF5" w14:textId="77777777" w:rsidR="00643D32" w:rsidRPr="00C52947" w:rsidRDefault="00643D32" w:rsidP="00C52947">
      <w:pPr>
        <w:numPr>
          <w:ilvl w:val="0"/>
          <w:numId w:val="1"/>
        </w:numPr>
        <w:spacing w:after="0" w:line="240" w:lineRule="auto"/>
        <w:rPr>
          <w:rFonts w:ascii="Arial Narrow" w:hAnsi="Arial Narrow"/>
          <w:sz w:val="24"/>
          <w:szCs w:val="24"/>
        </w:rPr>
      </w:pPr>
      <w:r w:rsidRPr="00C52947">
        <w:rPr>
          <w:rFonts w:ascii="Arial Narrow" w:hAnsi="Arial Narrow"/>
          <w:sz w:val="24"/>
          <w:szCs w:val="24"/>
        </w:rPr>
        <w:t>custos de desenvolvimento, personalização ou adaptação da plataforma;</w:t>
      </w:r>
    </w:p>
    <w:p w14:paraId="0C1C3264" w14:textId="77777777" w:rsidR="00643D32" w:rsidRPr="00C52947" w:rsidRDefault="00643D32" w:rsidP="00C52947">
      <w:pPr>
        <w:numPr>
          <w:ilvl w:val="0"/>
          <w:numId w:val="1"/>
        </w:numPr>
        <w:spacing w:after="0" w:line="240" w:lineRule="auto"/>
        <w:rPr>
          <w:rFonts w:ascii="Arial Narrow" w:hAnsi="Arial Narrow"/>
          <w:sz w:val="24"/>
          <w:szCs w:val="24"/>
        </w:rPr>
      </w:pPr>
      <w:r w:rsidRPr="00C52947">
        <w:rPr>
          <w:rFonts w:ascii="Arial Narrow" w:hAnsi="Arial Narrow"/>
          <w:sz w:val="24"/>
          <w:szCs w:val="24"/>
        </w:rPr>
        <w:t>custos de infraestrutura tecnológica suportados pela licitante (servidores, armazenamento, componentes computacionais, etc.);</w:t>
      </w:r>
    </w:p>
    <w:p w14:paraId="30C5E292" w14:textId="77777777" w:rsidR="00643D32" w:rsidRPr="00C52947" w:rsidRDefault="00643D32" w:rsidP="00C52947">
      <w:pPr>
        <w:numPr>
          <w:ilvl w:val="0"/>
          <w:numId w:val="1"/>
        </w:numPr>
        <w:spacing w:after="0" w:line="240" w:lineRule="auto"/>
        <w:rPr>
          <w:rFonts w:ascii="Arial Narrow" w:hAnsi="Arial Narrow"/>
          <w:sz w:val="24"/>
          <w:szCs w:val="24"/>
        </w:rPr>
      </w:pPr>
      <w:r w:rsidRPr="00C52947">
        <w:rPr>
          <w:rFonts w:ascii="Arial Narrow" w:hAnsi="Arial Narrow"/>
          <w:sz w:val="24"/>
          <w:szCs w:val="24"/>
        </w:rPr>
        <w:t>custos de suporte técnico, atendimento ao usuário e serviços de formação;</w:t>
      </w:r>
    </w:p>
    <w:p w14:paraId="3291D661" w14:textId="77777777" w:rsidR="00643D32" w:rsidRPr="00C52947" w:rsidRDefault="00643D32" w:rsidP="00C52947">
      <w:pPr>
        <w:numPr>
          <w:ilvl w:val="0"/>
          <w:numId w:val="1"/>
        </w:numPr>
        <w:spacing w:after="0" w:line="240" w:lineRule="auto"/>
        <w:rPr>
          <w:rFonts w:ascii="Arial Narrow" w:hAnsi="Arial Narrow"/>
          <w:sz w:val="24"/>
          <w:szCs w:val="24"/>
        </w:rPr>
      </w:pPr>
      <w:r w:rsidRPr="00C52947">
        <w:rPr>
          <w:rFonts w:ascii="Arial Narrow" w:hAnsi="Arial Narrow"/>
          <w:sz w:val="24"/>
          <w:szCs w:val="24"/>
        </w:rPr>
        <w:t>custos referentes à manutenção da API e integrações necessárias.</w:t>
      </w:r>
    </w:p>
    <w:p w14:paraId="1FDA0AD3" w14:textId="77777777" w:rsidR="00643D32" w:rsidRPr="00C52947" w:rsidRDefault="00643D32" w:rsidP="00C52947">
      <w:pPr>
        <w:spacing w:after="0" w:line="240" w:lineRule="auto"/>
        <w:rPr>
          <w:rFonts w:ascii="Arial Narrow" w:hAnsi="Arial Narrow"/>
          <w:sz w:val="24"/>
          <w:szCs w:val="24"/>
        </w:rPr>
      </w:pPr>
      <w:r w:rsidRPr="00C52947">
        <w:rPr>
          <w:rFonts w:ascii="Arial Narrow" w:hAnsi="Arial Narrow"/>
          <w:sz w:val="24"/>
          <w:szCs w:val="24"/>
        </w:rPr>
        <w:t>Ou, alternativamente, solicita-se informar se há custos específicos que não devem ser previstos na proposta, por serem assumidos diretamente pelo contratante.</w:t>
      </w:r>
    </w:p>
    <w:p w14:paraId="0ADE145A" w14:textId="77777777" w:rsidR="00643D32" w:rsidRPr="00C52947" w:rsidRDefault="00643D32" w:rsidP="00C52947">
      <w:pPr>
        <w:spacing w:after="0" w:line="240" w:lineRule="auto"/>
        <w:rPr>
          <w:rFonts w:ascii="Arial Narrow" w:hAnsi="Arial Narrow"/>
          <w:sz w:val="24"/>
          <w:szCs w:val="24"/>
        </w:rPr>
      </w:pPr>
      <w:r w:rsidRPr="00C52947">
        <w:rPr>
          <w:rFonts w:ascii="Arial Narrow" w:hAnsi="Arial Narrow"/>
          <w:sz w:val="24"/>
          <w:szCs w:val="24"/>
        </w:rPr>
        <w:t>A definição clara sobre a amplitude dos custos a serem incluídos na proposta é medida essencial para garantir:</w:t>
      </w:r>
    </w:p>
    <w:p w14:paraId="04BF700E" w14:textId="77777777" w:rsidR="00643D32" w:rsidRPr="00C52947" w:rsidRDefault="00643D32" w:rsidP="00C52947">
      <w:pPr>
        <w:numPr>
          <w:ilvl w:val="0"/>
          <w:numId w:val="2"/>
        </w:numPr>
        <w:spacing w:after="0" w:line="240" w:lineRule="auto"/>
        <w:rPr>
          <w:rFonts w:ascii="Arial Narrow" w:hAnsi="Arial Narrow"/>
          <w:sz w:val="24"/>
          <w:szCs w:val="24"/>
        </w:rPr>
      </w:pPr>
      <w:r w:rsidRPr="00C52947">
        <w:rPr>
          <w:rFonts w:ascii="Arial Narrow" w:hAnsi="Arial Narrow"/>
          <w:sz w:val="24"/>
          <w:szCs w:val="24"/>
        </w:rPr>
        <w:t>igualdade de condições entre as concorrentes;</w:t>
      </w:r>
    </w:p>
    <w:p w14:paraId="3F3A74C5" w14:textId="77777777" w:rsidR="00643D32" w:rsidRPr="00C52947" w:rsidRDefault="00643D32" w:rsidP="00C52947">
      <w:pPr>
        <w:numPr>
          <w:ilvl w:val="0"/>
          <w:numId w:val="2"/>
        </w:numPr>
        <w:spacing w:after="0" w:line="240" w:lineRule="auto"/>
        <w:rPr>
          <w:rFonts w:ascii="Arial Narrow" w:hAnsi="Arial Narrow"/>
          <w:sz w:val="24"/>
          <w:szCs w:val="24"/>
        </w:rPr>
      </w:pPr>
      <w:r w:rsidRPr="00C52947">
        <w:rPr>
          <w:rFonts w:ascii="Arial Narrow" w:hAnsi="Arial Narrow"/>
          <w:sz w:val="24"/>
          <w:szCs w:val="24"/>
        </w:rPr>
        <w:t>correta comparação entre as propostas;</w:t>
      </w:r>
    </w:p>
    <w:p w14:paraId="409E7F6F" w14:textId="77777777" w:rsidR="00643D32" w:rsidRPr="00C52947" w:rsidRDefault="00643D32" w:rsidP="00C52947">
      <w:pPr>
        <w:numPr>
          <w:ilvl w:val="0"/>
          <w:numId w:val="2"/>
        </w:numPr>
        <w:spacing w:after="0" w:line="240" w:lineRule="auto"/>
        <w:rPr>
          <w:rFonts w:ascii="Arial Narrow" w:hAnsi="Arial Narrow"/>
          <w:sz w:val="24"/>
          <w:szCs w:val="24"/>
        </w:rPr>
      </w:pPr>
      <w:r w:rsidRPr="00C52947">
        <w:rPr>
          <w:rFonts w:ascii="Arial Narrow" w:hAnsi="Arial Narrow"/>
          <w:sz w:val="24"/>
          <w:szCs w:val="24"/>
        </w:rPr>
        <w:t>prevenção de inconsistências e inexequibilidades;</w:t>
      </w:r>
    </w:p>
    <w:p w14:paraId="1B8BA54F" w14:textId="77777777" w:rsidR="00643D32" w:rsidRPr="00C52947" w:rsidRDefault="00643D32" w:rsidP="00C52947">
      <w:pPr>
        <w:numPr>
          <w:ilvl w:val="0"/>
          <w:numId w:val="2"/>
        </w:numPr>
        <w:spacing w:after="0" w:line="240" w:lineRule="auto"/>
        <w:rPr>
          <w:rFonts w:ascii="Arial Narrow" w:hAnsi="Arial Narrow"/>
          <w:sz w:val="24"/>
          <w:szCs w:val="24"/>
        </w:rPr>
      </w:pPr>
      <w:r w:rsidRPr="00C52947">
        <w:rPr>
          <w:rFonts w:ascii="Arial Narrow" w:hAnsi="Arial Narrow"/>
          <w:sz w:val="24"/>
          <w:szCs w:val="24"/>
        </w:rPr>
        <w:t>e pleno atendimento às necessidades do contratante.</w:t>
      </w:r>
    </w:p>
    <w:p w14:paraId="57519553" w14:textId="77777777" w:rsidR="00643D32" w:rsidRPr="00C52947" w:rsidRDefault="00643D32" w:rsidP="00C52947">
      <w:pPr>
        <w:spacing w:after="0" w:line="240" w:lineRule="auto"/>
        <w:jc w:val="both"/>
        <w:rPr>
          <w:rFonts w:ascii="Arial Narrow" w:hAnsi="Arial Narrow"/>
          <w:sz w:val="24"/>
          <w:szCs w:val="24"/>
        </w:rPr>
      </w:pPr>
      <w:r w:rsidRPr="00C52947">
        <w:rPr>
          <w:rFonts w:ascii="Arial Narrow" w:hAnsi="Arial Narrow"/>
          <w:sz w:val="24"/>
          <w:szCs w:val="24"/>
        </w:rPr>
        <w:t>Assim, solicita-se a disponibilização da resposta de forma oficial, com a correspondente publicidade às demais interessadas.</w:t>
      </w:r>
    </w:p>
    <w:p w14:paraId="6FDA71E2" w14:textId="77777777" w:rsidR="00643D32" w:rsidRPr="00C52947" w:rsidRDefault="00643D32" w:rsidP="00C52947">
      <w:pPr>
        <w:spacing w:after="0" w:line="240" w:lineRule="auto"/>
        <w:rPr>
          <w:rFonts w:ascii="Arial Narrow" w:hAnsi="Arial Narrow"/>
          <w:sz w:val="24"/>
          <w:szCs w:val="24"/>
        </w:rPr>
      </w:pPr>
      <w:r w:rsidRPr="00C52947">
        <w:rPr>
          <w:rFonts w:ascii="Arial Narrow" w:hAnsi="Arial Narrow"/>
          <w:sz w:val="24"/>
          <w:szCs w:val="24"/>
        </w:rPr>
        <w:t>Diante do exposto, solicita-se:</w:t>
      </w:r>
    </w:p>
    <w:p w14:paraId="2A4FD80D" w14:textId="0F43575B" w:rsidR="00643D32" w:rsidRDefault="00643D32" w:rsidP="00C52947">
      <w:pPr>
        <w:pStyle w:val="PargrafodaLista"/>
        <w:numPr>
          <w:ilvl w:val="0"/>
          <w:numId w:val="3"/>
        </w:numPr>
        <w:spacing w:after="0" w:line="240" w:lineRule="auto"/>
        <w:jc w:val="both"/>
        <w:rPr>
          <w:rFonts w:ascii="Arial Narrow" w:hAnsi="Arial Narrow"/>
          <w:sz w:val="24"/>
          <w:szCs w:val="24"/>
        </w:rPr>
      </w:pPr>
      <w:r w:rsidRPr="00C52947">
        <w:rPr>
          <w:rFonts w:ascii="Arial Narrow" w:hAnsi="Arial Narrow"/>
          <w:sz w:val="24"/>
          <w:szCs w:val="24"/>
        </w:rPr>
        <w:t>Informar se a proposta comercial deverá abarcar todos os custos de investimento e demais despesas inerentes à implementação e manutenção da solução, conforme detalhado neste pedido; </w:t>
      </w:r>
      <w:r w:rsidRPr="00C52947">
        <w:rPr>
          <w:rFonts w:ascii="Arial Narrow" w:hAnsi="Arial Narrow"/>
          <w:b/>
          <w:bCs/>
          <w:sz w:val="24"/>
          <w:szCs w:val="24"/>
        </w:rPr>
        <w:t>ou</w:t>
      </w:r>
      <w:r w:rsidRPr="00C52947">
        <w:rPr>
          <w:rFonts w:ascii="Arial Narrow" w:hAnsi="Arial Narrow"/>
          <w:sz w:val="24"/>
          <w:szCs w:val="24"/>
        </w:rPr>
        <w:t> se algum desses custos deverá ser excluído da responsabilidade das licitantes.</w:t>
      </w:r>
    </w:p>
    <w:p w14:paraId="1FC4B6BF" w14:textId="77777777" w:rsidR="00C52947" w:rsidRPr="00C52947" w:rsidRDefault="00C52947" w:rsidP="00C52947">
      <w:pPr>
        <w:pStyle w:val="PargrafodaLista"/>
        <w:spacing w:after="0" w:line="240" w:lineRule="auto"/>
        <w:jc w:val="both"/>
        <w:rPr>
          <w:rFonts w:ascii="Arial Narrow" w:hAnsi="Arial Narrow"/>
          <w:sz w:val="24"/>
          <w:szCs w:val="24"/>
        </w:rPr>
      </w:pPr>
    </w:p>
    <w:p w14:paraId="30C25E85" w14:textId="311242EB" w:rsidR="00435CA6" w:rsidRPr="00C52947" w:rsidRDefault="00C52947" w:rsidP="00C52947">
      <w:p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 xml:space="preserve">RESPOSTA.: </w:t>
      </w:r>
      <w:r w:rsidR="00435CA6" w:rsidRPr="00C52947">
        <w:rPr>
          <w:rFonts w:ascii="Arial Narrow" w:hAnsi="Arial Narrow"/>
          <w:sz w:val="24"/>
          <w:szCs w:val="24"/>
        </w:rPr>
        <w:t>Sim, a proposta comercial deve contemplar integralmente todos os custos necessários para a plena execução do objeto contratual. O Termo de Referência (TR) é explícito ao determinar que a proponente é responsável pela maioria das despesas.</w:t>
      </w:r>
    </w:p>
    <w:p w14:paraId="2BB0E88A" w14:textId="77777777" w:rsidR="00435CA6" w:rsidRPr="00C52947" w:rsidRDefault="00435CA6" w:rsidP="00C52947">
      <w:p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Conforme o item 10.1 do TR:</w:t>
      </w:r>
    </w:p>
    <w:p w14:paraId="3CD5AFE7" w14:textId="77777777" w:rsidR="00435CA6" w:rsidRPr="00C52947" w:rsidRDefault="00435CA6" w:rsidP="00C52947">
      <w:p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lastRenderedPageBreak/>
        <w:t>"No valor global estimado devem estar incluídos todos os custos decorrentes do fornecimento/prestação dos serviços objeto deste Chamamento, bem como todos os impostos, encargos trabalhistas, previdenciários, fiscais, comerciais, fretes, taxas, seguros, deslocamentos, entre eles referente aos serviços de formação presencial nos departamentos do SESI e quaisquer outros que incidam direta ou indiretamente sobre o objeto da contratação."</w:t>
      </w:r>
    </w:p>
    <w:p w14:paraId="6CCA0C7A" w14:textId="77777777" w:rsidR="00435CA6" w:rsidRPr="00C52947" w:rsidRDefault="00435CA6" w:rsidP="00C52947">
      <w:p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Adicionalmente, detalhando os pontos questionados:</w:t>
      </w:r>
    </w:p>
    <w:p w14:paraId="1E4DA32D" w14:textId="77777777" w:rsidR="00435CA6" w:rsidRPr="00C52947" w:rsidRDefault="00435CA6" w:rsidP="00C52947">
      <w:pPr>
        <w:numPr>
          <w:ilvl w:val="0"/>
          <w:numId w:val="4"/>
        </w:num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Custos de investimento, implantação, desenvolvimento e personalização: Devem estar incluídos na proposta. A proponente deve precificar os itens da planilha de pagamento (Seção 11) considerando todos os custos para atender integralmente aos requisitos funcionais, de configuração e integração descritos no TR.</w:t>
      </w:r>
    </w:p>
    <w:p w14:paraId="2379BCC2" w14:textId="45414EDA" w:rsidR="00435CA6" w:rsidRPr="00C52947" w:rsidRDefault="00435CA6" w:rsidP="00C52947">
      <w:pPr>
        <w:numPr>
          <w:ilvl w:val="0"/>
          <w:numId w:val="4"/>
        </w:num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Custos de infraestrutura tecnológica (servidores, armazenamento, etc.): São de responsabilidade da</w:t>
      </w:r>
      <w:r w:rsidR="00C52947" w:rsidRPr="00C52947">
        <w:rPr>
          <w:rFonts w:ascii="Arial Narrow" w:hAnsi="Arial Narrow"/>
          <w:sz w:val="24"/>
          <w:szCs w:val="24"/>
        </w:rPr>
        <w:t xml:space="preserve"> Participante</w:t>
      </w:r>
      <w:r w:rsidRPr="00C52947">
        <w:rPr>
          <w:rFonts w:ascii="Arial Narrow" w:hAnsi="Arial Narrow"/>
          <w:sz w:val="24"/>
          <w:szCs w:val="24"/>
        </w:rPr>
        <w:t>. O item 4.2.1.1 do TR estabelece que a solução será no modelo SaaS, sendo a "instalação e hospedagem da solução de responsabilidade da CONTRATADA, ou seja, os recursos tecnológicos serão fornecidos e suportados pela CONTRATADA".</w:t>
      </w:r>
    </w:p>
    <w:p w14:paraId="104B15ED" w14:textId="77777777" w:rsidR="00435CA6" w:rsidRPr="00C52947" w:rsidRDefault="00435CA6" w:rsidP="00C52947">
      <w:pPr>
        <w:numPr>
          <w:ilvl w:val="0"/>
          <w:numId w:val="4"/>
        </w:num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Custos de suporte técnico, atendimento ao usuário e serviços de formação: Devem estar incluídos. Os itens 3.3.7 e 10.1.c do TR afirmam que os serviços de suporte técnico e manutenção da plataforma estão inclusos no valor das licenças. O item 3.6.2.a também especifica que os custos de deslocamento para as formações presenciais devem estar no preço ofertado.</w:t>
      </w:r>
    </w:p>
    <w:p w14:paraId="2B94E876" w14:textId="77777777" w:rsidR="00435CA6" w:rsidRPr="00C52947" w:rsidRDefault="00435CA6" w:rsidP="00C52947">
      <w:pPr>
        <w:numPr>
          <w:ilvl w:val="0"/>
          <w:numId w:val="4"/>
        </w:num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Custos de manutenção da API e integrações: Devem estar incluídos. A CONTRATADA é responsável por fornecer e manter a API (itens 3.1.5 e 3.1.9). A "Manutenção da API (sob demanda)" é um item precificável na planilha de pagamento (Seção 11).</w:t>
      </w:r>
    </w:p>
    <w:p w14:paraId="5A0A975D" w14:textId="77777777" w:rsidR="00C52947" w:rsidRDefault="00C52947" w:rsidP="00C52947">
      <w:pPr>
        <w:spacing w:after="0" w:line="240" w:lineRule="auto"/>
        <w:ind w:left="720"/>
        <w:jc w:val="both"/>
        <w:rPr>
          <w:rFonts w:ascii="Arial Narrow" w:hAnsi="Arial Narrow"/>
          <w:sz w:val="24"/>
          <w:szCs w:val="24"/>
        </w:rPr>
      </w:pPr>
    </w:p>
    <w:p w14:paraId="4C36F159" w14:textId="77777777" w:rsidR="00C52947" w:rsidRPr="00FE2230" w:rsidRDefault="00C52947" w:rsidP="00C52947">
      <w:pPr>
        <w:pStyle w:val="PargrafodaLista"/>
        <w:numPr>
          <w:ilvl w:val="0"/>
          <w:numId w:val="5"/>
        </w:numPr>
        <w:spacing w:after="0" w:line="240" w:lineRule="auto"/>
        <w:jc w:val="both"/>
        <w:rPr>
          <w:rFonts w:ascii="Arial Narrow" w:hAnsi="Arial Narrow"/>
          <w:sz w:val="24"/>
          <w:szCs w:val="24"/>
        </w:rPr>
      </w:pPr>
      <w:r w:rsidRPr="00FE2230">
        <w:rPr>
          <w:rFonts w:ascii="Arial Narrow" w:hAnsi="Arial Narrow"/>
          <w:sz w:val="24"/>
          <w:szCs w:val="24"/>
        </w:rPr>
        <w:t>Disponibilizar o esclarecimento no canal oficial designado pelo edital, garantindo ciência ampla às demais participantes.</w:t>
      </w:r>
    </w:p>
    <w:p w14:paraId="61F89ACC" w14:textId="77777777" w:rsidR="00C52947" w:rsidRPr="00C52947" w:rsidRDefault="00C52947" w:rsidP="00C52947">
      <w:pPr>
        <w:spacing w:after="0" w:line="240" w:lineRule="auto"/>
        <w:ind w:left="720"/>
        <w:jc w:val="both"/>
        <w:rPr>
          <w:rFonts w:ascii="Arial Narrow" w:hAnsi="Arial Narrow"/>
          <w:sz w:val="24"/>
          <w:szCs w:val="24"/>
        </w:rPr>
      </w:pPr>
    </w:p>
    <w:p w14:paraId="1B0599DA" w14:textId="77777777" w:rsidR="00C52947" w:rsidRPr="00C52947" w:rsidRDefault="00C52947" w:rsidP="00C52947">
      <w:pPr>
        <w:pStyle w:val="PargrafodaLista"/>
        <w:numPr>
          <w:ilvl w:val="0"/>
          <w:numId w:val="4"/>
        </w:numPr>
        <w:shd w:val="clear" w:color="auto" w:fill="BFBFBF" w:themeFill="background1" w:themeFillShade="BF"/>
        <w:spacing w:after="0" w:line="240" w:lineRule="auto"/>
        <w:jc w:val="both"/>
        <w:rPr>
          <w:rFonts w:ascii="Arial Narrow" w:hAnsi="Arial Narrow"/>
          <w:sz w:val="24"/>
          <w:szCs w:val="24"/>
        </w:rPr>
      </w:pPr>
      <w:r w:rsidRPr="00C52947">
        <w:rPr>
          <w:rFonts w:ascii="Arial Narrow" w:hAnsi="Arial Narrow"/>
          <w:sz w:val="24"/>
          <w:szCs w:val="24"/>
        </w:rPr>
        <w:t>RESPOSTA.: Cumpre informar que a divulgação oficial dos esclarecimentos às demais interessadas é realizada exclusivamente pelos meios e canais previstos no Chamamento, em conformidade com as normas e procedimentos aplicáveis, garantindo ampla publicidade e igualdade de condições entre as participantes.</w:t>
      </w:r>
    </w:p>
    <w:p w14:paraId="6DDAF63B" w14:textId="77777777" w:rsidR="00485CEF" w:rsidRPr="00C52947" w:rsidRDefault="00485CEF" w:rsidP="00C52947">
      <w:pPr>
        <w:spacing w:after="0" w:line="240" w:lineRule="auto"/>
        <w:rPr>
          <w:rFonts w:ascii="Arial Narrow" w:hAnsi="Arial Narrow"/>
          <w:sz w:val="24"/>
          <w:szCs w:val="24"/>
        </w:rPr>
      </w:pPr>
    </w:p>
    <w:p w14:paraId="417C9235" w14:textId="28D79113" w:rsidR="00D34B01" w:rsidRPr="00C52947" w:rsidRDefault="00D34B01" w:rsidP="002C13B8">
      <w:pPr>
        <w:pStyle w:val="LO-Normal"/>
        <w:jc w:val="both"/>
        <w:rPr>
          <w:rFonts w:ascii="Arial Narrow" w:hAnsi="Arial Narrow"/>
          <w:b/>
        </w:rPr>
      </w:pPr>
      <w:r w:rsidRPr="00C52947">
        <w:rPr>
          <w:rFonts w:ascii="Arial Narrow" w:hAnsi="Arial Narrow"/>
          <w:b/>
        </w:rPr>
        <w:t xml:space="preserve">Para todos os efeitos este documento passa a integrar o </w:t>
      </w:r>
      <w:r w:rsidR="002C13B8">
        <w:rPr>
          <w:rFonts w:ascii="Arial Narrow" w:hAnsi="Arial Narrow"/>
          <w:b/>
        </w:rPr>
        <w:t>Chamamento Público</w:t>
      </w:r>
      <w:r w:rsidRPr="00C52947">
        <w:rPr>
          <w:rFonts w:ascii="Arial Narrow" w:hAnsi="Arial Narrow"/>
          <w:b/>
        </w:rPr>
        <w:t xml:space="preserve"> em referência.</w:t>
      </w:r>
    </w:p>
    <w:p w14:paraId="6301D730" w14:textId="77777777" w:rsidR="00D34B01" w:rsidRPr="00C52947" w:rsidRDefault="00D34B01" w:rsidP="00C52947">
      <w:pPr>
        <w:spacing w:after="0" w:line="240" w:lineRule="auto"/>
        <w:ind w:right="-30"/>
        <w:rPr>
          <w:rFonts w:ascii="Arial Narrow" w:hAnsi="Arial Narrow" w:cs="Arial"/>
          <w:sz w:val="24"/>
          <w:szCs w:val="24"/>
        </w:rPr>
      </w:pPr>
    </w:p>
    <w:p w14:paraId="58A947C5" w14:textId="3D69B13D" w:rsidR="00D34B01" w:rsidRPr="00C52947" w:rsidRDefault="00D34B01" w:rsidP="00C52947">
      <w:pPr>
        <w:spacing w:after="0" w:line="240" w:lineRule="auto"/>
        <w:ind w:right="-30"/>
        <w:jc w:val="right"/>
        <w:rPr>
          <w:rFonts w:ascii="Arial Narrow" w:hAnsi="Arial Narrow" w:cs="Arial"/>
          <w:sz w:val="24"/>
          <w:szCs w:val="24"/>
        </w:rPr>
      </w:pPr>
      <w:r w:rsidRPr="00C52947">
        <w:rPr>
          <w:rFonts w:ascii="Arial Narrow" w:hAnsi="Arial Narrow" w:cs="Arial"/>
          <w:sz w:val="24"/>
          <w:szCs w:val="24"/>
        </w:rPr>
        <w:t xml:space="preserve">Brasília - DF, </w:t>
      </w:r>
      <w:r w:rsidR="00C52947">
        <w:rPr>
          <w:rFonts w:ascii="Arial Narrow" w:hAnsi="Arial Narrow" w:cs="Arial"/>
          <w:sz w:val="24"/>
          <w:szCs w:val="24"/>
        </w:rPr>
        <w:t>5</w:t>
      </w:r>
      <w:r w:rsidRPr="00C52947">
        <w:rPr>
          <w:rFonts w:ascii="Arial Narrow" w:hAnsi="Arial Narrow" w:cs="Arial"/>
          <w:sz w:val="24"/>
          <w:szCs w:val="24"/>
        </w:rPr>
        <w:t xml:space="preserve"> de dezembro de 2025.</w:t>
      </w:r>
    </w:p>
    <w:p w14:paraId="713329A7" w14:textId="77777777" w:rsidR="00D34B01" w:rsidRPr="00C52947" w:rsidRDefault="00D34B01" w:rsidP="00C52947">
      <w:pPr>
        <w:spacing w:after="0" w:line="240" w:lineRule="auto"/>
        <w:ind w:right="-30"/>
        <w:jc w:val="center"/>
        <w:rPr>
          <w:rFonts w:ascii="Arial Narrow" w:hAnsi="Arial Narrow" w:cs="Arial"/>
          <w:sz w:val="24"/>
          <w:szCs w:val="24"/>
        </w:rPr>
      </w:pPr>
    </w:p>
    <w:p w14:paraId="52D1EABF" w14:textId="77777777" w:rsidR="00D34B01" w:rsidRPr="00C52947" w:rsidRDefault="00D34B01" w:rsidP="00C52947">
      <w:pPr>
        <w:spacing w:after="0" w:line="240" w:lineRule="auto"/>
        <w:ind w:right="-30"/>
        <w:jc w:val="center"/>
        <w:rPr>
          <w:rFonts w:ascii="Arial Narrow" w:hAnsi="Arial Narrow" w:cs="Arial"/>
          <w:sz w:val="24"/>
          <w:szCs w:val="24"/>
        </w:rPr>
      </w:pPr>
    </w:p>
    <w:p w14:paraId="5A277D9F" w14:textId="77777777" w:rsidR="00D34B01" w:rsidRPr="00C52947" w:rsidRDefault="00D34B01" w:rsidP="00C52947">
      <w:pPr>
        <w:spacing w:after="0" w:line="240" w:lineRule="auto"/>
        <w:ind w:right="-28"/>
        <w:jc w:val="center"/>
        <w:rPr>
          <w:rFonts w:ascii="Arial Narrow" w:hAnsi="Arial Narrow" w:cs="Arial"/>
          <w:b/>
          <w:bCs/>
          <w:sz w:val="24"/>
          <w:szCs w:val="24"/>
        </w:rPr>
      </w:pPr>
      <w:r w:rsidRPr="00C52947">
        <w:rPr>
          <w:rFonts w:ascii="Arial Narrow" w:hAnsi="Arial Narrow" w:cs="Arial"/>
          <w:b/>
          <w:bCs/>
          <w:sz w:val="24"/>
          <w:szCs w:val="24"/>
        </w:rPr>
        <w:t>______________________________________</w:t>
      </w:r>
    </w:p>
    <w:p w14:paraId="380B2D9B" w14:textId="77777777" w:rsidR="00D34B01" w:rsidRPr="00C52947" w:rsidRDefault="00D34B01" w:rsidP="00C52947">
      <w:pPr>
        <w:spacing w:after="0" w:line="240" w:lineRule="auto"/>
        <w:jc w:val="center"/>
        <w:rPr>
          <w:rFonts w:ascii="Arial Narrow" w:hAnsi="Arial Narrow" w:cs="Arial"/>
          <w:b/>
          <w:bCs/>
          <w:sz w:val="24"/>
          <w:szCs w:val="24"/>
        </w:rPr>
      </w:pPr>
      <w:r w:rsidRPr="00C52947">
        <w:rPr>
          <w:rFonts w:ascii="Arial Narrow" w:hAnsi="Arial Narrow" w:cs="Arial"/>
          <w:b/>
          <w:bCs/>
          <w:sz w:val="24"/>
          <w:szCs w:val="24"/>
        </w:rPr>
        <w:t>Comissão Permanente de Contratação e Alienação</w:t>
      </w:r>
    </w:p>
    <w:p w14:paraId="6FEC94FD" w14:textId="77777777" w:rsidR="00DC584D" w:rsidRPr="00C52947" w:rsidRDefault="00DC584D" w:rsidP="00C52947">
      <w:pPr>
        <w:spacing w:after="0" w:line="240" w:lineRule="auto"/>
        <w:rPr>
          <w:rFonts w:ascii="Arial Narrow" w:hAnsi="Arial Narrow"/>
          <w:sz w:val="24"/>
          <w:szCs w:val="24"/>
        </w:rPr>
      </w:pPr>
    </w:p>
    <w:sectPr w:rsidR="00DC584D" w:rsidRPr="00C5294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3B15" w14:textId="77777777" w:rsidR="00D556E3" w:rsidRDefault="00D556E3" w:rsidP="00BE1FF1">
      <w:pPr>
        <w:spacing w:after="0" w:line="240" w:lineRule="auto"/>
      </w:pPr>
      <w:r>
        <w:separator/>
      </w:r>
    </w:p>
  </w:endnote>
  <w:endnote w:type="continuationSeparator" w:id="0">
    <w:p w14:paraId="35305C9D" w14:textId="77777777" w:rsidR="00D556E3" w:rsidRDefault="00D556E3" w:rsidP="00BE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AB33" w14:textId="77777777" w:rsidR="00D556E3" w:rsidRDefault="00D556E3" w:rsidP="00BE1FF1">
      <w:pPr>
        <w:spacing w:after="0" w:line="240" w:lineRule="auto"/>
      </w:pPr>
      <w:r>
        <w:separator/>
      </w:r>
    </w:p>
  </w:footnote>
  <w:footnote w:type="continuationSeparator" w:id="0">
    <w:p w14:paraId="3D657031" w14:textId="77777777" w:rsidR="00D556E3" w:rsidRDefault="00D556E3" w:rsidP="00BE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5EE6" w14:textId="621292E9" w:rsidR="00BE1FF1" w:rsidRDefault="00BE1FF1">
    <w:pPr>
      <w:pStyle w:val="Cabealho"/>
    </w:pPr>
    <w:r>
      <w:rPr>
        <w:noProof/>
      </w:rPr>
      <w:drawing>
        <wp:anchor distT="0" distB="0" distL="114300" distR="114300" simplePos="0" relativeHeight="251659264" behindDoc="1" locked="0" layoutInCell="1" allowOverlap="1" wp14:anchorId="7D9AF212" wp14:editId="0C84436E">
          <wp:simplePos x="0" y="0"/>
          <wp:positionH relativeFrom="column">
            <wp:posOffset>-592531</wp:posOffset>
          </wp:positionH>
          <wp:positionV relativeFrom="paragraph">
            <wp:posOffset>-446863</wp:posOffset>
          </wp:positionV>
          <wp:extent cx="7575872" cy="10720815"/>
          <wp:effectExtent l="0" t="0" r="6350" b="0"/>
          <wp:wrapNone/>
          <wp:docPr id="377448032" name="Imagem 1"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48032" name="Imagem 1" descr="Uma imagem contendo 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5872" cy="10720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EC8"/>
    <w:multiLevelType w:val="hybridMultilevel"/>
    <w:tmpl w:val="086ED08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4B3382"/>
    <w:multiLevelType w:val="multilevel"/>
    <w:tmpl w:val="7A94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AE3919"/>
    <w:multiLevelType w:val="hybridMultilevel"/>
    <w:tmpl w:val="086ED082"/>
    <w:lvl w:ilvl="0" w:tplc="F03A66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1235844"/>
    <w:multiLevelType w:val="multilevel"/>
    <w:tmpl w:val="078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323EC"/>
    <w:multiLevelType w:val="multilevel"/>
    <w:tmpl w:val="C1A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822489">
    <w:abstractNumId w:val="3"/>
  </w:num>
  <w:num w:numId="2" w16cid:durableId="2029133835">
    <w:abstractNumId w:val="4"/>
  </w:num>
  <w:num w:numId="3" w16cid:durableId="1085305236">
    <w:abstractNumId w:val="2"/>
  </w:num>
  <w:num w:numId="4" w16cid:durableId="804351732">
    <w:abstractNumId w:val="1"/>
  </w:num>
  <w:num w:numId="5" w16cid:durableId="8684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32"/>
    <w:rsid w:val="00115E3E"/>
    <w:rsid w:val="002C13B8"/>
    <w:rsid w:val="00435CA6"/>
    <w:rsid w:val="00485CEF"/>
    <w:rsid w:val="004B165B"/>
    <w:rsid w:val="004E34C4"/>
    <w:rsid w:val="0054559B"/>
    <w:rsid w:val="00545AE5"/>
    <w:rsid w:val="00643D32"/>
    <w:rsid w:val="007147DC"/>
    <w:rsid w:val="007B4173"/>
    <w:rsid w:val="00824297"/>
    <w:rsid w:val="00857335"/>
    <w:rsid w:val="0086528E"/>
    <w:rsid w:val="00926005"/>
    <w:rsid w:val="00A14575"/>
    <w:rsid w:val="00BE1FF1"/>
    <w:rsid w:val="00C46626"/>
    <w:rsid w:val="00C52947"/>
    <w:rsid w:val="00C87C1C"/>
    <w:rsid w:val="00CE387A"/>
    <w:rsid w:val="00D34B01"/>
    <w:rsid w:val="00D556E3"/>
    <w:rsid w:val="00D55A12"/>
    <w:rsid w:val="00D73491"/>
    <w:rsid w:val="00DC584D"/>
    <w:rsid w:val="00E15D54"/>
    <w:rsid w:val="00E237E7"/>
    <w:rsid w:val="00E50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82A3C"/>
  <w15:chartTrackingRefBased/>
  <w15:docId w15:val="{D64ABDF7-3B3E-4497-9E95-8E8B98FA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D32"/>
  </w:style>
  <w:style w:type="paragraph" w:styleId="Ttulo1">
    <w:name w:val="heading 1"/>
    <w:basedOn w:val="Normal"/>
    <w:next w:val="Normal"/>
    <w:link w:val="Ttulo1Char"/>
    <w:uiPriority w:val="9"/>
    <w:qFormat/>
    <w:rsid w:val="00643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4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43D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43D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43D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43D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43D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43D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43D3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3D3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43D3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43D3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43D3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43D3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43D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43D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43D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43D32"/>
    <w:rPr>
      <w:rFonts w:eastAsiaTheme="majorEastAsia" w:cstheme="majorBidi"/>
      <w:color w:val="272727" w:themeColor="text1" w:themeTint="D8"/>
    </w:rPr>
  </w:style>
  <w:style w:type="paragraph" w:styleId="Ttulo">
    <w:name w:val="Title"/>
    <w:basedOn w:val="Normal"/>
    <w:next w:val="Normal"/>
    <w:link w:val="TtuloChar"/>
    <w:qFormat/>
    <w:rsid w:val="0064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643D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43D3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43D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43D32"/>
    <w:pPr>
      <w:spacing w:before="160"/>
      <w:jc w:val="center"/>
    </w:pPr>
    <w:rPr>
      <w:i/>
      <w:iCs/>
      <w:color w:val="404040" w:themeColor="text1" w:themeTint="BF"/>
    </w:rPr>
  </w:style>
  <w:style w:type="character" w:customStyle="1" w:styleId="CitaoChar">
    <w:name w:val="Citação Char"/>
    <w:basedOn w:val="Fontepargpadro"/>
    <w:link w:val="Citao"/>
    <w:uiPriority w:val="29"/>
    <w:rsid w:val="00643D32"/>
    <w:rPr>
      <w:i/>
      <w:iCs/>
      <w:color w:val="404040" w:themeColor="text1" w:themeTint="BF"/>
    </w:rPr>
  </w:style>
  <w:style w:type="paragraph" w:styleId="PargrafodaLista">
    <w:name w:val="List Paragraph"/>
    <w:basedOn w:val="Normal"/>
    <w:uiPriority w:val="34"/>
    <w:qFormat/>
    <w:rsid w:val="00643D32"/>
    <w:pPr>
      <w:ind w:left="720"/>
      <w:contextualSpacing/>
    </w:pPr>
  </w:style>
  <w:style w:type="character" w:styleId="nfaseIntensa">
    <w:name w:val="Intense Emphasis"/>
    <w:basedOn w:val="Fontepargpadro"/>
    <w:uiPriority w:val="21"/>
    <w:qFormat/>
    <w:rsid w:val="00643D32"/>
    <w:rPr>
      <w:i/>
      <w:iCs/>
      <w:color w:val="0F4761" w:themeColor="accent1" w:themeShade="BF"/>
    </w:rPr>
  </w:style>
  <w:style w:type="paragraph" w:styleId="CitaoIntensa">
    <w:name w:val="Intense Quote"/>
    <w:basedOn w:val="Normal"/>
    <w:next w:val="Normal"/>
    <w:link w:val="CitaoIntensaChar"/>
    <w:uiPriority w:val="30"/>
    <w:qFormat/>
    <w:rsid w:val="0064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43D32"/>
    <w:rPr>
      <w:i/>
      <w:iCs/>
      <w:color w:val="0F4761" w:themeColor="accent1" w:themeShade="BF"/>
    </w:rPr>
  </w:style>
  <w:style w:type="character" w:styleId="RefernciaIntensa">
    <w:name w:val="Intense Reference"/>
    <w:basedOn w:val="Fontepargpadro"/>
    <w:uiPriority w:val="32"/>
    <w:qFormat/>
    <w:rsid w:val="00643D32"/>
    <w:rPr>
      <w:b/>
      <w:bCs/>
      <w:smallCaps/>
      <w:color w:val="0F4761" w:themeColor="accent1" w:themeShade="BF"/>
      <w:spacing w:val="5"/>
    </w:rPr>
  </w:style>
  <w:style w:type="paragraph" w:styleId="Cabealho">
    <w:name w:val="header"/>
    <w:basedOn w:val="Normal"/>
    <w:link w:val="CabealhoChar"/>
    <w:uiPriority w:val="99"/>
    <w:unhideWhenUsed/>
    <w:rsid w:val="00BE1F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1FF1"/>
  </w:style>
  <w:style w:type="paragraph" w:styleId="Rodap">
    <w:name w:val="footer"/>
    <w:basedOn w:val="Normal"/>
    <w:link w:val="RodapChar"/>
    <w:uiPriority w:val="99"/>
    <w:unhideWhenUsed/>
    <w:rsid w:val="00BE1FF1"/>
    <w:pPr>
      <w:tabs>
        <w:tab w:val="center" w:pos="4252"/>
        <w:tab w:val="right" w:pos="8504"/>
      </w:tabs>
      <w:spacing w:after="0" w:line="240" w:lineRule="auto"/>
    </w:pPr>
  </w:style>
  <w:style w:type="character" w:customStyle="1" w:styleId="RodapChar">
    <w:name w:val="Rodapé Char"/>
    <w:basedOn w:val="Fontepargpadro"/>
    <w:link w:val="Rodap"/>
    <w:uiPriority w:val="99"/>
    <w:rsid w:val="00BE1FF1"/>
  </w:style>
  <w:style w:type="paragraph" w:customStyle="1" w:styleId="LO-Normal">
    <w:name w:val="LO-Normal"/>
    <w:rsid w:val="00D34B01"/>
    <w:pPr>
      <w:widowControl w:val="0"/>
      <w:suppressAutoHyphens/>
      <w:spacing w:after="0" w:line="240" w:lineRule="auto"/>
    </w:pPr>
    <w:rPr>
      <w:rFonts w:ascii="Liberation Serif" w:eastAsia="SimSun" w:hAnsi="Liberation Serif" w:cs="Mangal"/>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FBEAB302CB44894FB7FD9D7D7605" ma:contentTypeVersion="11" ma:contentTypeDescription="Create a new document." ma:contentTypeScope="" ma:versionID="1de8e5ec61ad72f14032331b0113d9a8">
  <xsd:schema xmlns:xsd="http://www.w3.org/2001/XMLSchema" xmlns:xs="http://www.w3.org/2001/XMLSchema" xmlns:p="http://schemas.microsoft.com/office/2006/metadata/properties" xmlns:ns2="7c2fa9a2-5c42-4899-812e-30465043122e" xmlns:ns3="ac495498-134d-4fbd-9120-2903af0ab175" targetNamespace="http://schemas.microsoft.com/office/2006/metadata/properties" ma:root="true" ma:fieldsID="4058424b5d25472d06d062d588becc00" ns2:_="" ns3:_="">
    <xsd:import namespace="7c2fa9a2-5c42-4899-812e-30465043122e"/>
    <xsd:import namespace="ac495498-134d-4fbd-9120-2903af0ab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fa9a2-5c42-4899-812e-304650431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495498-134d-4fbd-9120-2903af0ab1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92c951-1705-43a6-9898-a8b6aba3eb4d}" ma:internalName="TaxCatchAll" ma:showField="CatchAllData" ma:web="ac495498-134d-4fbd-9120-2903af0ab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fa9a2-5c42-4899-812e-30465043122e">
      <Terms xmlns="http://schemas.microsoft.com/office/infopath/2007/PartnerControls"/>
    </lcf76f155ced4ddcb4097134ff3c332f>
    <TaxCatchAll xmlns="ac495498-134d-4fbd-9120-2903af0ab175" xsi:nil="true"/>
  </documentManagement>
</p:properties>
</file>

<file path=customXml/itemProps1.xml><?xml version="1.0" encoding="utf-8"?>
<ds:datastoreItem xmlns:ds="http://schemas.openxmlformats.org/officeDocument/2006/customXml" ds:itemID="{48DF53FC-679B-4671-A5A4-41BD870DA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fa9a2-5c42-4899-812e-30465043122e"/>
    <ds:schemaRef ds:uri="ac495498-134d-4fbd-9120-2903af0ab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9C701-92B7-48B4-88E1-E0374BD8F50B}">
  <ds:schemaRefs>
    <ds:schemaRef ds:uri="http://schemas.microsoft.com/sharepoint/v3/contenttype/forms"/>
  </ds:schemaRefs>
</ds:datastoreItem>
</file>

<file path=customXml/itemProps3.xml><?xml version="1.0" encoding="utf-8"?>
<ds:datastoreItem xmlns:ds="http://schemas.openxmlformats.org/officeDocument/2006/customXml" ds:itemID="{0F7CFFC0-23C3-446C-8FC2-DBAE35BC8F49}">
  <ds:schemaRefs>
    <ds:schemaRef ds:uri="http://schemas.microsoft.com/office/2006/metadata/properties"/>
    <ds:schemaRef ds:uri="http://schemas.microsoft.com/office/infopath/2007/PartnerControls"/>
    <ds:schemaRef ds:uri="7c2fa9a2-5c42-4899-812e-30465043122e"/>
    <ds:schemaRef ds:uri="ac495498-134d-4fbd-9120-2903af0ab1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4402</Characters>
  <Application>Microsoft Office Word</Application>
  <DocSecurity>0</DocSecurity>
  <Lines>89</Lines>
  <Paragraphs>42</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Dulce Spies</cp:lastModifiedBy>
  <cp:revision>4</cp:revision>
  <dcterms:created xsi:type="dcterms:W3CDTF">2025-12-05T12:38:00Z</dcterms:created>
  <dcterms:modified xsi:type="dcterms:W3CDTF">2025-12-05T12:47:00Z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0x010100DB74FBEAB302CB44894FB7FD9D7D7605</vt:lpwstr>
  </property>
  <property fmtid="{D5CDD505-2E9C-101B-9397-08002B2CF9AE}" pid="3" name="MediaServiceImageTags">
    <vt:lpwstr/>
  </property>
  <property fmtid="{D5CDD505-2E9C-101B-9397-08002B2CF9AE}" pid="4" name="docLang">
    <vt:lpwstr>pt</vt:lpwstr>
  </property>
</Properties>
</file>