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B72A" w14:textId="76C2669D" w:rsidR="008C058C" w:rsidRPr="00921077" w:rsidRDefault="007A64A0" w:rsidP="007A64A0">
      <w:pPr>
        <w:spacing w:after="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ESCLARECIMENTO 1</w:t>
      </w:r>
    </w:p>
    <w:p w14:paraId="62DD1E24" w14:textId="77777777" w:rsidR="009B5D70" w:rsidRPr="00F94464" w:rsidRDefault="009B5D70" w:rsidP="007A64A0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F9446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CHAMAMENTO PÚBLICO Nº 1/2021</w:t>
      </w:r>
    </w:p>
    <w:p w14:paraId="57DA3780" w14:textId="77777777" w:rsidR="009B5D70" w:rsidRPr="00F94464" w:rsidRDefault="009B5D70" w:rsidP="007A64A0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F94464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tbl>
      <w:tblPr>
        <w:tblW w:w="85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118"/>
      </w:tblGrid>
      <w:tr w:rsidR="009B5D70" w:rsidRPr="00F94464" w14:paraId="1DE63E7A" w14:textId="77777777" w:rsidTr="00A10FED">
        <w:trPr>
          <w:trHeight w:val="368"/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FFCF8" w14:textId="77777777" w:rsidR="009B5D70" w:rsidRPr="00F94464" w:rsidRDefault="009B5D70" w:rsidP="007A64A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9446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Processo nº 03372/2020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89D45" w14:textId="77777777" w:rsidR="009B5D70" w:rsidRPr="00F94464" w:rsidRDefault="009B5D70" w:rsidP="007A64A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9B5D70" w:rsidRPr="00F94464" w14:paraId="2C50B980" w14:textId="77777777" w:rsidTr="00A10FED">
        <w:trPr>
          <w:trHeight w:val="279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7A311" w14:textId="12FEAF93" w:rsidR="009B5D70" w:rsidRPr="00F94464" w:rsidRDefault="009B5D70" w:rsidP="007A64A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spellStart"/>
            <w:r w:rsidRPr="00F9446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Abertura</w:t>
            </w:r>
            <w:proofErr w:type="spellEnd"/>
            <w:r w:rsidRPr="00F9446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: </w:t>
            </w:r>
            <w:r w:rsidR="00921077" w:rsidRPr="0092107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20</w:t>
            </w:r>
            <w:r w:rsidRPr="00F9446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/</w:t>
            </w:r>
            <w:r w:rsidR="00F94464" w:rsidRPr="00F9446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8</w:t>
            </w:r>
            <w:r w:rsidRPr="00F9446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/2021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7875C" w14:textId="3EDF39FC" w:rsidR="009B5D70" w:rsidRPr="00F94464" w:rsidRDefault="009B5D70" w:rsidP="007A64A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proofErr w:type="spellStart"/>
            <w:r w:rsidRPr="00F9446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Horário</w:t>
            </w:r>
            <w:proofErr w:type="spellEnd"/>
            <w:r w:rsidRPr="00F9446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: 1</w:t>
            </w:r>
            <w:r w:rsidR="0092107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0</w:t>
            </w:r>
            <w:r w:rsidRPr="00F9446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pt-BR"/>
              </w:rPr>
              <w:t>h</w:t>
            </w:r>
          </w:p>
        </w:tc>
      </w:tr>
      <w:tr w:rsidR="009B5D70" w:rsidRPr="00F94464" w14:paraId="2213E215" w14:textId="77777777" w:rsidTr="00A10FED">
        <w:trPr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93E9D" w14:textId="77777777" w:rsidR="009B5D70" w:rsidRPr="00F94464" w:rsidRDefault="009B5D7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9446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Local: SBN, Quadra 1, Bloco C, Edifício Roberto Simonsen, 2º andar, CEP 70040-903 - Brasília (DF) - Fones 61 3317-8968</w:t>
            </w:r>
          </w:p>
        </w:tc>
      </w:tr>
    </w:tbl>
    <w:p w14:paraId="68E41218" w14:textId="30D7B211" w:rsidR="009B5D70" w:rsidRPr="00F94464" w:rsidRDefault="009B5D70" w:rsidP="00D40172">
      <w:pPr>
        <w:tabs>
          <w:tab w:val="left" w:pos="2572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pt-BR"/>
        </w:rPr>
      </w:pPr>
      <w:r w:rsidRPr="00F94464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5B6581D0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1ª Solicitação de Esclarecimentos</w:t>
      </w:r>
    </w:p>
    <w:p w14:paraId="6031FD4D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</w:p>
    <w:p w14:paraId="78CF4CA9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01</w:t>
      </w:r>
    </w:p>
    <w:p w14:paraId="43BCD97E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1.1. O presente Chamamento Público tem por objeto o credenciamento de empresas especializadas na prestação de serviços técnicos para provimento de internet móvel no modelo de internet patrocinada - cobrança reversa - a fim garantir, de forma complementar, o acesso sem custo aos alunos de todas as escolas do SENAI presentes no Brasil, conforme especificações contidas no Termo de Referência (TR), Anexo I deste chamamento.</w:t>
      </w:r>
    </w:p>
    <w:p w14:paraId="3EF0986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Entendemos que o acesso exclusivo aos estudantes e professores serão providenciados pelo SENAI, através de login e senha ao aplicativo. A exclusividade do acesso não faz parte do escopo do serviço Internet Patrocinada ofertados pela operadora.</w:t>
      </w:r>
    </w:p>
    <w:p w14:paraId="2F139B42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Nosso entendimento está correto?</w:t>
      </w:r>
    </w:p>
    <w:p w14:paraId="1E3805C6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Sim.</w:t>
      </w:r>
    </w:p>
    <w:p w14:paraId="66424BC1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02</w:t>
      </w:r>
    </w:p>
    <w:p w14:paraId="18610840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Com relação ao modelo de proposta de preços, considerando o tráfego total de;</w:t>
      </w:r>
    </w:p>
    <w:p w14:paraId="5D86509F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5.2. Os preços a serem praticados levarão em consideração o preço unitário por Megabytes</w:t>
      </w:r>
    </w:p>
    <w:p w14:paraId="04CFC7A5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consumido, conforme tabela a seguir: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1842"/>
        <w:gridCol w:w="1985"/>
      </w:tblGrid>
      <w:tr w:rsidR="007A64A0" w:rsidRPr="00010179" w14:paraId="2CAC8A23" w14:textId="77777777" w:rsidTr="00D40D1B">
        <w:tc>
          <w:tcPr>
            <w:tcW w:w="8784" w:type="dxa"/>
            <w:gridSpan w:val="5"/>
            <w:shd w:val="clear" w:color="auto" w:fill="D9D9D9" w:themeFill="background1" w:themeFillShade="D9"/>
          </w:tcPr>
          <w:p w14:paraId="322ABD4A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Internet Patrocinada - Pós-pago</w:t>
            </w:r>
          </w:p>
        </w:tc>
      </w:tr>
      <w:tr w:rsidR="007A64A0" w:rsidRPr="00010179" w14:paraId="4EED37F2" w14:textId="77777777" w:rsidTr="00D40D1B">
        <w:trPr>
          <w:trHeight w:val="593"/>
        </w:trPr>
        <w:tc>
          <w:tcPr>
            <w:tcW w:w="1555" w:type="dxa"/>
            <w:vMerge w:val="restart"/>
          </w:tcPr>
          <w:p w14:paraId="723C3AC7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  <w:p w14:paraId="0BA7CAE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Tráfego (MB)</w:t>
            </w:r>
          </w:p>
        </w:tc>
        <w:tc>
          <w:tcPr>
            <w:tcW w:w="1275" w:type="dxa"/>
          </w:tcPr>
          <w:p w14:paraId="3F1E9A1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2127" w:type="dxa"/>
          </w:tcPr>
          <w:p w14:paraId="140B20DB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Quant. estimada/ mês (faixas de consumo)</w:t>
            </w:r>
          </w:p>
        </w:tc>
        <w:tc>
          <w:tcPr>
            <w:tcW w:w="1842" w:type="dxa"/>
          </w:tcPr>
          <w:p w14:paraId="09F82EA1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Valor Unitário (R$) com impostos/MB</w:t>
            </w:r>
          </w:p>
        </w:tc>
        <w:tc>
          <w:tcPr>
            <w:tcW w:w="1985" w:type="dxa"/>
          </w:tcPr>
          <w:p w14:paraId="11218B6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Valor limite anual estimado (R$) por faixa de consumo</w:t>
            </w:r>
          </w:p>
        </w:tc>
      </w:tr>
      <w:tr w:rsidR="007A64A0" w:rsidRPr="00010179" w14:paraId="3B3F9D27" w14:textId="77777777" w:rsidTr="00D40D1B">
        <w:tc>
          <w:tcPr>
            <w:tcW w:w="1555" w:type="dxa"/>
            <w:vMerge/>
          </w:tcPr>
          <w:p w14:paraId="7D8816BA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DCD94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7B884E6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85.000*</w:t>
            </w:r>
          </w:p>
        </w:tc>
        <w:tc>
          <w:tcPr>
            <w:tcW w:w="1842" w:type="dxa"/>
            <w:vAlign w:val="bottom"/>
          </w:tcPr>
          <w:p w14:paraId="3735E9C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985" w:type="dxa"/>
            <w:vAlign w:val="bottom"/>
          </w:tcPr>
          <w:p w14:paraId="2A55DE58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61.200,00*</w:t>
            </w:r>
          </w:p>
        </w:tc>
      </w:tr>
      <w:tr w:rsidR="007A64A0" w:rsidRPr="00010179" w14:paraId="473F7D13" w14:textId="77777777" w:rsidTr="00D40D1B">
        <w:tc>
          <w:tcPr>
            <w:tcW w:w="1555" w:type="dxa"/>
            <w:vMerge/>
          </w:tcPr>
          <w:p w14:paraId="127CAA1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956AA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26286028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85.001 Até 150.000</w:t>
            </w:r>
          </w:p>
        </w:tc>
        <w:tc>
          <w:tcPr>
            <w:tcW w:w="1842" w:type="dxa"/>
            <w:vAlign w:val="bottom"/>
          </w:tcPr>
          <w:p w14:paraId="75FDA4D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0,0564</w:t>
            </w:r>
          </w:p>
        </w:tc>
        <w:tc>
          <w:tcPr>
            <w:tcW w:w="1985" w:type="dxa"/>
            <w:vAlign w:val="bottom"/>
          </w:tcPr>
          <w:p w14:paraId="1EA8A7F1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101.520,00</w:t>
            </w:r>
          </w:p>
        </w:tc>
      </w:tr>
      <w:tr w:rsidR="007A64A0" w:rsidRPr="00010179" w14:paraId="74915717" w14:textId="77777777" w:rsidTr="00D40D1B">
        <w:tc>
          <w:tcPr>
            <w:tcW w:w="1555" w:type="dxa"/>
            <w:vMerge/>
          </w:tcPr>
          <w:p w14:paraId="69AE2867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50E3D7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0F41829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150.001 Até 400.000</w:t>
            </w:r>
          </w:p>
        </w:tc>
        <w:tc>
          <w:tcPr>
            <w:tcW w:w="1842" w:type="dxa"/>
            <w:vAlign w:val="bottom"/>
          </w:tcPr>
          <w:p w14:paraId="5F3B289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0,0528</w:t>
            </w:r>
          </w:p>
        </w:tc>
        <w:tc>
          <w:tcPr>
            <w:tcW w:w="1985" w:type="dxa"/>
            <w:vAlign w:val="bottom"/>
          </w:tcPr>
          <w:p w14:paraId="7B90942C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253.440,00</w:t>
            </w:r>
          </w:p>
        </w:tc>
      </w:tr>
      <w:tr w:rsidR="007A64A0" w:rsidRPr="00010179" w14:paraId="6B62F893" w14:textId="77777777" w:rsidTr="00D40D1B">
        <w:tc>
          <w:tcPr>
            <w:tcW w:w="1555" w:type="dxa"/>
            <w:vMerge/>
          </w:tcPr>
          <w:p w14:paraId="06C6F7FB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241DF2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769D8482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400.001 Até 1.000.000</w:t>
            </w:r>
          </w:p>
        </w:tc>
        <w:tc>
          <w:tcPr>
            <w:tcW w:w="1842" w:type="dxa"/>
            <w:vAlign w:val="bottom"/>
          </w:tcPr>
          <w:p w14:paraId="13F166E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0,0492</w:t>
            </w:r>
          </w:p>
        </w:tc>
        <w:tc>
          <w:tcPr>
            <w:tcW w:w="1985" w:type="dxa"/>
            <w:vAlign w:val="bottom"/>
          </w:tcPr>
          <w:p w14:paraId="2F04EF7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590.400,00</w:t>
            </w:r>
          </w:p>
        </w:tc>
      </w:tr>
      <w:tr w:rsidR="007A64A0" w:rsidRPr="00010179" w14:paraId="3676D7F2" w14:textId="77777777" w:rsidTr="00D40D1B">
        <w:tc>
          <w:tcPr>
            <w:tcW w:w="1555" w:type="dxa"/>
            <w:vMerge/>
          </w:tcPr>
          <w:p w14:paraId="4EE70B8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B1F1B8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1592D1C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1.000.001 Até 2.000.000</w:t>
            </w:r>
          </w:p>
        </w:tc>
        <w:tc>
          <w:tcPr>
            <w:tcW w:w="1842" w:type="dxa"/>
            <w:vAlign w:val="bottom"/>
          </w:tcPr>
          <w:p w14:paraId="3C85652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0,0456</w:t>
            </w:r>
          </w:p>
        </w:tc>
        <w:tc>
          <w:tcPr>
            <w:tcW w:w="1985" w:type="dxa"/>
            <w:vAlign w:val="bottom"/>
          </w:tcPr>
          <w:p w14:paraId="6487528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1.094.400,00</w:t>
            </w:r>
          </w:p>
        </w:tc>
      </w:tr>
      <w:tr w:rsidR="007A64A0" w:rsidRPr="00010179" w14:paraId="47466DBB" w14:textId="77777777" w:rsidTr="00D40D1B">
        <w:tc>
          <w:tcPr>
            <w:tcW w:w="1555" w:type="dxa"/>
            <w:vMerge/>
          </w:tcPr>
          <w:p w14:paraId="084727E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D252E3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1BC28803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2.000.001 Até 3.000.000</w:t>
            </w:r>
          </w:p>
        </w:tc>
        <w:tc>
          <w:tcPr>
            <w:tcW w:w="1842" w:type="dxa"/>
            <w:vAlign w:val="bottom"/>
          </w:tcPr>
          <w:p w14:paraId="10E8A1C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985" w:type="dxa"/>
            <w:vAlign w:val="bottom"/>
          </w:tcPr>
          <w:p w14:paraId="4792013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1.512.000,00</w:t>
            </w:r>
          </w:p>
        </w:tc>
      </w:tr>
      <w:tr w:rsidR="007A64A0" w:rsidRPr="00010179" w14:paraId="4837A1E1" w14:textId="77777777" w:rsidTr="00D40D1B">
        <w:tc>
          <w:tcPr>
            <w:tcW w:w="1555" w:type="dxa"/>
            <w:vMerge/>
          </w:tcPr>
          <w:p w14:paraId="73EC805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4688A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6B2B555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3.000.001 Até 4.000.000</w:t>
            </w:r>
          </w:p>
        </w:tc>
        <w:tc>
          <w:tcPr>
            <w:tcW w:w="1842" w:type="dxa"/>
            <w:vAlign w:val="bottom"/>
          </w:tcPr>
          <w:p w14:paraId="7876CBD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0,0384</w:t>
            </w:r>
          </w:p>
        </w:tc>
        <w:tc>
          <w:tcPr>
            <w:tcW w:w="1985" w:type="dxa"/>
            <w:vAlign w:val="bottom"/>
          </w:tcPr>
          <w:p w14:paraId="0075F4A9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1.843.200,00</w:t>
            </w:r>
          </w:p>
        </w:tc>
      </w:tr>
      <w:tr w:rsidR="007A64A0" w:rsidRPr="00010179" w14:paraId="32598D05" w14:textId="77777777" w:rsidTr="00D40D1B">
        <w:tc>
          <w:tcPr>
            <w:tcW w:w="1555" w:type="dxa"/>
            <w:vMerge/>
          </w:tcPr>
          <w:p w14:paraId="194A0E3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FC18C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7C80FDD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4.000.001 Até 5.000.000</w:t>
            </w:r>
          </w:p>
        </w:tc>
        <w:tc>
          <w:tcPr>
            <w:tcW w:w="1842" w:type="dxa"/>
            <w:vAlign w:val="bottom"/>
          </w:tcPr>
          <w:p w14:paraId="7B96DCB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0,0348</w:t>
            </w:r>
          </w:p>
        </w:tc>
        <w:tc>
          <w:tcPr>
            <w:tcW w:w="1985" w:type="dxa"/>
            <w:vAlign w:val="bottom"/>
          </w:tcPr>
          <w:p w14:paraId="659F7BB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2.088.000,00</w:t>
            </w:r>
          </w:p>
        </w:tc>
      </w:tr>
      <w:tr w:rsidR="007A64A0" w:rsidRPr="00010179" w14:paraId="38B3C640" w14:textId="77777777" w:rsidTr="00D40D1B">
        <w:tc>
          <w:tcPr>
            <w:tcW w:w="1555" w:type="dxa"/>
            <w:vMerge/>
          </w:tcPr>
          <w:p w14:paraId="3083D07C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E1EC7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3538FBF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5.000.001 Até 6.000.000</w:t>
            </w:r>
          </w:p>
        </w:tc>
        <w:tc>
          <w:tcPr>
            <w:tcW w:w="1842" w:type="dxa"/>
            <w:vAlign w:val="bottom"/>
          </w:tcPr>
          <w:p w14:paraId="6626830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985" w:type="dxa"/>
            <w:vAlign w:val="bottom"/>
          </w:tcPr>
          <w:p w14:paraId="6E7C7C27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2.160.000,00</w:t>
            </w:r>
          </w:p>
        </w:tc>
      </w:tr>
      <w:tr w:rsidR="007A64A0" w:rsidRPr="00010179" w14:paraId="3A22CA14" w14:textId="77777777" w:rsidTr="00D40D1B">
        <w:tc>
          <w:tcPr>
            <w:tcW w:w="1555" w:type="dxa"/>
            <w:vMerge/>
          </w:tcPr>
          <w:p w14:paraId="63C9563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FE964A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6AD861D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6.000.001 Até 7.000.000</w:t>
            </w:r>
          </w:p>
        </w:tc>
        <w:tc>
          <w:tcPr>
            <w:tcW w:w="1842" w:type="dxa"/>
            <w:vAlign w:val="bottom"/>
          </w:tcPr>
          <w:p w14:paraId="0A2E172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0,0252</w:t>
            </w:r>
          </w:p>
        </w:tc>
        <w:tc>
          <w:tcPr>
            <w:tcW w:w="1985" w:type="dxa"/>
            <w:vAlign w:val="bottom"/>
          </w:tcPr>
          <w:p w14:paraId="2539EC1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2.116.800,00</w:t>
            </w:r>
          </w:p>
        </w:tc>
      </w:tr>
      <w:tr w:rsidR="007A64A0" w:rsidRPr="00010179" w14:paraId="57AF3515" w14:textId="77777777" w:rsidTr="00D40D1B">
        <w:tc>
          <w:tcPr>
            <w:tcW w:w="1555" w:type="dxa"/>
            <w:vMerge/>
          </w:tcPr>
          <w:p w14:paraId="63AF430C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ABFEC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4259BC7C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7.000.001 Até 8.000.000</w:t>
            </w:r>
          </w:p>
        </w:tc>
        <w:tc>
          <w:tcPr>
            <w:tcW w:w="1842" w:type="dxa"/>
            <w:vAlign w:val="bottom"/>
          </w:tcPr>
          <w:p w14:paraId="07A0B0A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0,0204</w:t>
            </w:r>
          </w:p>
        </w:tc>
        <w:tc>
          <w:tcPr>
            <w:tcW w:w="1985" w:type="dxa"/>
            <w:vAlign w:val="bottom"/>
          </w:tcPr>
          <w:p w14:paraId="3AA499DB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1.958.400,00</w:t>
            </w:r>
          </w:p>
        </w:tc>
      </w:tr>
      <w:tr w:rsidR="007A64A0" w:rsidRPr="00010179" w14:paraId="4A9C7B4A" w14:textId="77777777" w:rsidTr="00D40D1B">
        <w:tc>
          <w:tcPr>
            <w:tcW w:w="1555" w:type="dxa"/>
            <w:vMerge/>
          </w:tcPr>
          <w:p w14:paraId="77944E4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AF579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60F7DF1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8.000.001 Até 9.000.000</w:t>
            </w:r>
          </w:p>
        </w:tc>
        <w:tc>
          <w:tcPr>
            <w:tcW w:w="1842" w:type="dxa"/>
            <w:vAlign w:val="bottom"/>
          </w:tcPr>
          <w:p w14:paraId="2037A2F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0,0156</w:t>
            </w:r>
          </w:p>
        </w:tc>
        <w:tc>
          <w:tcPr>
            <w:tcW w:w="1985" w:type="dxa"/>
            <w:vAlign w:val="bottom"/>
          </w:tcPr>
          <w:p w14:paraId="1174D859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1.684.800,00</w:t>
            </w:r>
          </w:p>
        </w:tc>
      </w:tr>
      <w:tr w:rsidR="007A64A0" w:rsidRPr="00010179" w14:paraId="35AA386E" w14:textId="77777777" w:rsidTr="00D40D1B">
        <w:tc>
          <w:tcPr>
            <w:tcW w:w="1555" w:type="dxa"/>
            <w:vMerge/>
          </w:tcPr>
          <w:p w14:paraId="70329F1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F4EE9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23533B28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9.000.001 Até 10.000.000</w:t>
            </w:r>
          </w:p>
        </w:tc>
        <w:tc>
          <w:tcPr>
            <w:tcW w:w="1842" w:type="dxa"/>
            <w:vAlign w:val="bottom"/>
          </w:tcPr>
          <w:p w14:paraId="4B11205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0,0132</w:t>
            </w:r>
          </w:p>
        </w:tc>
        <w:tc>
          <w:tcPr>
            <w:tcW w:w="1985" w:type="dxa"/>
            <w:vAlign w:val="bottom"/>
          </w:tcPr>
          <w:p w14:paraId="6B123C8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1.584.000,00</w:t>
            </w:r>
          </w:p>
        </w:tc>
      </w:tr>
      <w:tr w:rsidR="007A64A0" w:rsidRPr="00010179" w14:paraId="74182280" w14:textId="77777777" w:rsidTr="00D40D1B">
        <w:tc>
          <w:tcPr>
            <w:tcW w:w="1555" w:type="dxa"/>
            <w:vMerge/>
          </w:tcPr>
          <w:p w14:paraId="5E439ED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307D02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shd w:val="clear" w:color="auto" w:fill="auto"/>
          </w:tcPr>
          <w:p w14:paraId="5638A1B2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Acima de 10.000.000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A0200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FA6C42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1.200.000,00</w:t>
            </w:r>
          </w:p>
        </w:tc>
      </w:tr>
      <w:tr w:rsidR="007A64A0" w:rsidRPr="00010179" w14:paraId="0F66596C" w14:textId="77777777" w:rsidTr="00D40D1B">
        <w:tc>
          <w:tcPr>
            <w:tcW w:w="8784" w:type="dxa"/>
            <w:gridSpan w:val="5"/>
          </w:tcPr>
          <w:p w14:paraId="5CF0728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6481366F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ArialNarrow"/>
          <w:color w:val="06400C"/>
          <w:sz w:val="24"/>
          <w:szCs w:val="24"/>
        </w:rPr>
      </w:pPr>
      <w:r w:rsidRPr="00010179">
        <w:rPr>
          <w:rFonts w:ascii="Arial Narrow" w:hAnsi="Arial Narrow" w:cs="ArialNarrow"/>
          <w:color w:val="06400C"/>
          <w:sz w:val="24"/>
          <w:szCs w:val="24"/>
        </w:rPr>
        <w:t>* Franquia anual mínima a ser contratada pelo SENAI equivalente ao pacote de 1.020.000MB/ano</w:t>
      </w:r>
    </w:p>
    <w:p w14:paraId="4C1234FD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 xml:space="preserve">Esclarecemos que devido aos custos de utilização e manutenção dos serviços, não é possível precificar os serviços considerando o valor por MB diante do Market </w:t>
      </w:r>
      <w:proofErr w:type="spellStart"/>
      <w:r w:rsidRPr="00010179">
        <w:rPr>
          <w:rFonts w:ascii="Arial Narrow" w:hAnsi="Arial Narrow" w:cs="Calibri"/>
          <w:sz w:val="24"/>
          <w:szCs w:val="24"/>
        </w:rPr>
        <w:t>share</w:t>
      </w:r>
      <w:proofErr w:type="spellEnd"/>
      <w:r w:rsidRPr="00010179">
        <w:rPr>
          <w:rFonts w:ascii="Arial Narrow" w:hAnsi="Arial Narrow" w:cs="Calibri"/>
          <w:sz w:val="24"/>
          <w:szCs w:val="24"/>
        </w:rPr>
        <w:t xml:space="preserve"> e tráfego estimado, uma vez que não há garantia de utilização.</w:t>
      </w:r>
    </w:p>
    <w:p w14:paraId="7187A0A1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 xml:space="preserve">Verificamos que será realizada uma franquia mínima mensal de 85.000MB no valor de R$ 0,06/MB, no entanto os valores apresentados para as velocidades de consumo são abaixo do que está operadora poderá praticar. Destacamos que o serviço de Internet Patrocinada é realizado com parceiros, havendo </w:t>
      </w:r>
      <w:proofErr w:type="spellStart"/>
      <w:r w:rsidRPr="00010179">
        <w:rPr>
          <w:rFonts w:ascii="Arial Narrow" w:hAnsi="Arial Narrow" w:cs="Calibri"/>
          <w:sz w:val="24"/>
          <w:szCs w:val="24"/>
        </w:rPr>
        <w:t>revenue</w:t>
      </w:r>
      <w:proofErr w:type="spellEnd"/>
      <w:r w:rsidRPr="0001017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010179">
        <w:rPr>
          <w:rFonts w:ascii="Arial Narrow" w:hAnsi="Arial Narrow" w:cs="Calibri"/>
          <w:sz w:val="24"/>
          <w:szCs w:val="24"/>
        </w:rPr>
        <w:t>share</w:t>
      </w:r>
      <w:proofErr w:type="spellEnd"/>
      <w:r w:rsidRPr="00010179">
        <w:rPr>
          <w:rFonts w:ascii="Arial Narrow" w:hAnsi="Arial Narrow" w:cs="Calibri"/>
          <w:sz w:val="24"/>
          <w:szCs w:val="24"/>
        </w:rPr>
        <w:t xml:space="preserve">, pagamentos de impostos de </w:t>
      </w:r>
      <w:proofErr w:type="spellStart"/>
      <w:r w:rsidRPr="00010179">
        <w:rPr>
          <w:rFonts w:ascii="Arial Narrow" w:hAnsi="Arial Narrow" w:cs="Calibri"/>
          <w:sz w:val="24"/>
          <w:szCs w:val="24"/>
        </w:rPr>
        <w:t>telecom</w:t>
      </w:r>
      <w:proofErr w:type="spellEnd"/>
      <w:r w:rsidRPr="00010179">
        <w:rPr>
          <w:rFonts w:ascii="Arial Narrow" w:hAnsi="Arial Narrow" w:cs="Calibri"/>
          <w:sz w:val="24"/>
          <w:szCs w:val="24"/>
        </w:rPr>
        <w:t xml:space="preserve"> e com os valores apresentados na tabela de preços, tornando inviável a participação no credenciamento.</w:t>
      </w:r>
    </w:p>
    <w:p w14:paraId="7B2A2EB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1C4EB717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Diante dos fatos, solicitamos que seja alterado os preços para a planilha abaixo</w:t>
      </w:r>
      <w:proofErr w:type="gramStart"/>
      <w:r w:rsidRPr="00010179">
        <w:rPr>
          <w:rFonts w:ascii="Arial Narrow" w:hAnsi="Arial Narrow" w:cs="Calibri"/>
          <w:sz w:val="24"/>
          <w:szCs w:val="24"/>
        </w:rPr>
        <w:t>; .</w:t>
      </w:r>
      <w:proofErr w:type="gramEnd"/>
    </w:p>
    <w:tbl>
      <w:tblPr>
        <w:tblW w:w="4992" w:type="dxa"/>
        <w:tblInd w:w="1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500"/>
        <w:gridCol w:w="1420"/>
        <w:gridCol w:w="146"/>
        <w:gridCol w:w="6"/>
      </w:tblGrid>
      <w:tr w:rsidR="007A64A0" w:rsidRPr="00010179" w14:paraId="7E5842E4" w14:textId="77777777" w:rsidTr="00D40D1B">
        <w:trPr>
          <w:trHeight w:val="300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9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29F09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Tabela Preço - DADOS A COBRAR - Pós Pago</w:t>
            </w:r>
          </w:p>
        </w:tc>
        <w:tc>
          <w:tcPr>
            <w:tcW w:w="146" w:type="dxa"/>
            <w:shd w:val="clear" w:color="auto" w:fill="FFFFFF"/>
            <w:vAlign w:val="center"/>
            <w:hideMark/>
          </w:tcPr>
          <w:p w14:paraId="352BE02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F4327BC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</w:tr>
      <w:tr w:rsidR="007A64A0" w:rsidRPr="00010179" w14:paraId="0E6200A4" w14:textId="77777777" w:rsidTr="00D40D1B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EA9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B1EB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Franquia Mensal</w:t>
            </w: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br/>
              <w:t>(GB)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7008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Franquia Mensal</w:t>
            </w: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br/>
              <w:t>(R$)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BA93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Valor MB</w:t>
            </w:r>
            <w:r w:rsidRPr="000101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br/>
              <w:t>Excedente (R$)</w:t>
            </w:r>
          </w:p>
        </w:tc>
        <w:tc>
          <w:tcPr>
            <w:tcW w:w="146" w:type="dxa"/>
            <w:shd w:val="clear" w:color="auto" w:fill="FFFFFF"/>
            <w:vAlign w:val="center"/>
            <w:hideMark/>
          </w:tcPr>
          <w:p w14:paraId="51274D9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BD9676F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</w:tr>
      <w:tr w:rsidR="007A64A0" w:rsidRPr="00010179" w14:paraId="6FFC32D7" w14:textId="77777777" w:rsidTr="00D40D1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F5C0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A918C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E7E40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E47A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ABF827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4F5EA21A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763BB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9E01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4.500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5AB9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0,0600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3A6C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D01F69B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2FAEBE03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D9AC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7D49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8.595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4122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0,0573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945E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24B5954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42968EDE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C526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2270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22.680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07A8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0,0567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898D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2CBE17E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7F284D73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3AA4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902AC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55.300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84AE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0,0553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DCE7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9968990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2FA704A4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02372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CB130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102.600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68A6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0,0513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876F2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0E28007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1C43F165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9C386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EAB2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141.900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87E8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0,0473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A39C9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BA7B7D2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657C0E89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07E2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40BBC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173.200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3116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0,0433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04C2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64B7426C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23B49CBC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68DC9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A471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196.500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511FF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0,0393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02DAB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1274BE4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5EBEB68C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DA43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1127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216.000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D51B0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0,0360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3C89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41257C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6EAC2A22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E14B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D93FB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231.000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30CC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0,0330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E0D3B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54DE493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5A894FB6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9420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7D58B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242.352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583A1E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0,0303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A7E39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238904C9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037B2D77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3D7E6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E8A24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250.290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65D04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0,0278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6FC4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70ABA23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  <w:tr w:rsidR="007A64A0" w:rsidRPr="00010179" w14:paraId="5E55039B" w14:textId="77777777" w:rsidTr="00D40D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BF01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69598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255.200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5CFFE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  <w:r w:rsidRPr="00010179">
              <w:rPr>
                <w:rFonts w:ascii="Arial Narrow" w:eastAsia="Times New Roman" w:hAnsi="Arial Narrow" w:cs="Calibri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0,0255</w:t>
            </w:r>
          </w:p>
        </w:tc>
        <w:tc>
          <w:tcPr>
            <w:tcW w:w="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9331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201F1E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14:paraId="3318ED5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</w:tc>
      </w:tr>
    </w:tbl>
    <w:p w14:paraId="7E784093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66523D7D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Nossa solicitação será acatada?</w:t>
      </w:r>
    </w:p>
    <w:p w14:paraId="7C0DC870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Parcialmente. Segue contraproposta SENAI:</w:t>
      </w:r>
    </w:p>
    <w:p w14:paraId="0E644E2C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1842"/>
        <w:gridCol w:w="1985"/>
      </w:tblGrid>
      <w:tr w:rsidR="007A64A0" w:rsidRPr="00010179" w14:paraId="5A3841EF" w14:textId="77777777" w:rsidTr="00D40D1B">
        <w:tc>
          <w:tcPr>
            <w:tcW w:w="8784" w:type="dxa"/>
            <w:gridSpan w:val="5"/>
            <w:shd w:val="clear" w:color="auto" w:fill="D9D9D9" w:themeFill="background1" w:themeFillShade="D9"/>
          </w:tcPr>
          <w:p w14:paraId="39179EEA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Internet Patrocinada por operadora - Pós-pago</w:t>
            </w:r>
          </w:p>
        </w:tc>
      </w:tr>
      <w:tr w:rsidR="007A64A0" w:rsidRPr="00010179" w14:paraId="75D25A82" w14:textId="77777777" w:rsidTr="00D40D1B">
        <w:trPr>
          <w:trHeight w:val="593"/>
        </w:trPr>
        <w:tc>
          <w:tcPr>
            <w:tcW w:w="1555" w:type="dxa"/>
            <w:vMerge w:val="restart"/>
            <w:shd w:val="clear" w:color="auto" w:fill="auto"/>
          </w:tcPr>
          <w:p w14:paraId="3B46603E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  <w:p w14:paraId="15E6EC03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Tráfego (MB)</w:t>
            </w:r>
          </w:p>
        </w:tc>
        <w:tc>
          <w:tcPr>
            <w:tcW w:w="1275" w:type="dxa"/>
            <w:shd w:val="clear" w:color="auto" w:fill="auto"/>
          </w:tcPr>
          <w:p w14:paraId="56F8FF7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2127" w:type="dxa"/>
            <w:shd w:val="clear" w:color="auto" w:fill="auto"/>
          </w:tcPr>
          <w:p w14:paraId="296E346E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Quant. estimada/ mês (faixas de consumo)</w:t>
            </w:r>
          </w:p>
        </w:tc>
        <w:tc>
          <w:tcPr>
            <w:tcW w:w="1842" w:type="dxa"/>
            <w:shd w:val="clear" w:color="auto" w:fill="auto"/>
          </w:tcPr>
          <w:p w14:paraId="03DE278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Valor Unitário (R$) com impostos/MB</w:t>
            </w:r>
          </w:p>
        </w:tc>
        <w:tc>
          <w:tcPr>
            <w:tcW w:w="1985" w:type="dxa"/>
            <w:shd w:val="clear" w:color="auto" w:fill="auto"/>
          </w:tcPr>
          <w:p w14:paraId="7C9EDEB2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Valor limite anual estimado (R$) por faixa de consumo</w:t>
            </w:r>
          </w:p>
        </w:tc>
      </w:tr>
      <w:tr w:rsidR="007A64A0" w:rsidRPr="00010179" w14:paraId="5F5329F4" w14:textId="77777777" w:rsidTr="00D40D1B">
        <w:tc>
          <w:tcPr>
            <w:tcW w:w="1555" w:type="dxa"/>
            <w:vMerge/>
            <w:shd w:val="clear" w:color="auto" w:fill="auto"/>
          </w:tcPr>
          <w:p w14:paraId="21E7133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8D893F9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7B18861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85.000*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14:paraId="20C9D1AC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0,0553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797D848E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56.406,00*</w:t>
            </w:r>
          </w:p>
        </w:tc>
      </w:tr>
      <w:tr w:rsidR="007A64A0" w:rsidRPr="00010179" w14:paraId="7E959D1D" w14:textId="77777777" w:rsidTr="00D40D1B">
        <w:tc>
          <w:tcPr>
            <w:tcW w:w="1555" w:type="dxa"/>
            <w:vMerge/>
            <w:shd w:val="clear" w:color="auto" w:fill="auto"/>
          </w:tcPr>
          <w:p w14:paraId="147D64EA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950E5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5102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85.001 Até 1.000.000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5A7AF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2D4AA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600.000,00</w:t>
            </w:r>
          </w:p>
        </w:tc>
      </w:tr>
      <w:tr w:rsidR="007A64A0" w:rsidRPr="00010179" w14:paraId="55C1C52A" w14:textId="77777777" w:rsidTr="00D40D1B">
        <w:tc>
          <w:tcPr>
            <w:tcW w:w="1555" w:type="dxa"/>
            <w:vMerge/>
          </w:tcPr>
          <w:p w14:paraId="4CB9676E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1D793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4A7822D4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1.000.001 Até 3.000.000</w:t>
            </w:r>
          </w:p>
        </w:tc>
        <w:tc>
          <w:tcPr>
            <w:tcW w:w="1842" w:type="dxa"/>
            <w:vAlign w:val="bottom"/>
          </w:tcPr>
          <w:p w14:paraId="7DDD05B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0,0450</w:t>
            </w:r>
          </w:p>
        </w:tc>
        <w:tc>
          <w:tcPr>
            <w:tcW w:w="1985" w:type="dxa"/>
            <w:vAlign w:val="bottom"/>
          </w:tcPr>
          <w:p w14:paraId="233224F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1.620.000,00</w:t>
            </w:r>
          </w:p>
        </w:tc>
      </w:tr>
      <w:tr w:rsidR="007A64A0" w:rsidRPr="00010179" w14:paraId="65B2F3B0" w14:textId="77777777" w:rsidTr="00D40D1B">
        <w:tc>
          <w:tcPr>
            <w:tcW w:w="1555" w:type="dxa"/>
            <w:vMerge/>
          </w:tcPr>
          <w:p w14:paraId="05B5D28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591DBE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14D6C011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3.000.001 Até 5.000.000</w:t>
            </w:r>
          </w:p>
        </w:tc>
        <w:tc>
          <w:tcPr>
            <w:tcW w:w="1842" w:type="dxa"/>
            <w:vAlign w:val="bottom"/>
          </w:tcPr>
          <w:p w14:paraId="0D930EF1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0,0393</w:t>
            </w:r>
          </w:p>
        </w:tc>
        <w:tc>
          <w:tcPr>
            <w:tcW w:w="1985" w:type="dxa"/>
            <w:vAlign w:val="bottom"/>
          </w:tcPr>
          <w:p w14:paraId="5DB0E0F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2.358.000,00</w:t>
            </w:r>
          </w:p>
        </w:tc>
      </w:tr>
      <w:tr w:rsidR="007A64A0" w:rsidRPr="00010179" w14:paraId="03489336" w14:textId="77777777" w:rsidTr="00D40D1B">
        <w:tc>
          <w:tcPr>
            <w:tcW w:w="1555" w:type="dxa"/>
            <w:vMerge/>
          </w:tcPr>
          <w:p w14:paraId="1D3B9B3B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BED651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3E30978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5.000.001 Até 8.000.000</w:t>
            </w:r>
          </w:p>
        </w:tc>
        <w:tc>
          <w:tcPr>
            <w:tcW w:w="1842" w:type="dxa"/>
            <w:vAlign w:val="bottom"/>
          </w:tcPr>
          <w:p w14:paraId="6931CF1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0,0303</w:t>
            </w:r>
          </w:p>
        </w:tc>
        <w:tc>
          <w:tcPr>
            <w:tcW w:w="1985" w:type="dxa"/>
            <w:vAlign w:val="bottom"/>
          </w:tcPr>
          <w:p w14:paraId="36E17B6B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2.908.800,00</w:t>
            </w:r>
          </w:p>
        </w:tc>
      </w:tr>
      <w:tr w:rsidR="007A64A0" w:rsidRPr="00010179" w14:paraId="42041419" w14:textId="77777777" w:rsidTr="00D40D1B">
        <w:tc>
          <w:tcPr>
            <w:tcW w:w="1555" w:type="dxa"/>
            <w:vMerge/>
          </w:tcPr>
          <w:p w14:paraId="1244423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C989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vAlign w:val="center"/>
          </w:tcPr>
          <w:p w14:paraId="7B669F3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De 8.000.001 Até 10.000.000</w:t>
            </w:r>
          </w:p>
        </w:tc>
        <w:tc>
          <w:tcPr>
            <w:tcW w:w="1842" w:type="dxa"/>
            <w:vAlign w:val="bottom"/>
          </w:tcPr>
          <w:p w14:paraId="2AF6C9F6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0,0255</w:t>
            </w:r>
          </w:p>
        </w:tc>
        <w:tc>
          <w:tcPr>
            <w:tcW w:w="1985" w:type="dxa"/>
            <w:vAlign w:val="bottom"/>
          </w:tcPr>
          <w:p w14:paraId="58AEB93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3.060.000,00</w:t>
            </w:r>
          </w:p>
        </w:tc>
      </w:tr>
      <w:tr w:rsidR="007A64A0" w:rsidRPr="00010179" w14:paraId="6966F3D4" w14:textId="77777777" w:rsidTr="00D40D1B">
        <w:tc>
          <w:tcPr>
            <w:tcW w:w="1555" w:type="dxa"/>
            <w:vMerge/>
          </w:tcPr>
          <w:p w14:paraId="3183E7DD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C62C887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MB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B3A235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Acima de 10.000.000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14:paraId="5A62A9D0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color w:val="000000"/>
                <w:sz w:val="24"/>
                <w:szCs w:val="24"/>
              </w:rPr>
              <w:t>0,0220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1619733F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7A64A0" w:rsidRPr="00010179" w14:paraId="2BDEBF8A" w14:textId="77777777" w:rsidTr="00D40D1B">
        <w:tc>
          <w:tcPr>
            <w:tcW w:w="8784" w:type="dxa"/>
            <w:gridSpan w:val="5"/>
          </w:tcPr>
          <w:p w14:paraId="2DA4F1D8" w14:textId="77777777" w:rsidR="007A64A0" w:rsidRPr="00010179" w:rsidRDefault="007A64A0" w:rsidP="007A64A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010179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1B66E355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010179">
        <w:rPr>
          <w:rFonts w:ascii="Arial Narrow" w:hAnsi="Arial Narrow" w:cs="Calibri"/>
          <w:color w:val="000000"/>
          <w:sz w:val="24"/>
          <w:szCs w:val="24"/>
        </w:rPr>
        <w:t xml:space="preserve">*Franquia anual mínima de 1,02 </w:t>
      </w:r>
      <w:proofErr w:type="spellStart"/>
      <w:r w:rsidRPr="00010179">
        <w:rPr>
          <w:rFonts w:ascii="Arial Narrow" w:hAnsi="Arial Narrow" w:cs="Calibri"/>
          <w:color w:val="000000"/>
          <w:sz w:val="24"/>
          <w:szCs w:val="24"/>
        </w:rPr>
        <w:t>Terabyte</w:t>
      </w:r>
      <w:proofErr w:type="spellEnd"/>
      <w:r w:rsidRPr="00010179">
        <w:rPr>
          <w:rFonts w:ascii="Arial Narrow" w:hAnsi="Arial Narrow" w:cs="Calibri"/>
          <w:color w:val="000000"/>
          <w:sz w:val="24"/>
          <w:szCs w:val="24"/>
        </w:rPr>
        <w:t xml:space="preserve"> a ser contratada pelo SENAI equivalente ao pacote de 1.020.000MB/ano e R$0,0553/MB, no total de R$56.406,00. </w:t>
      </w:r>
    </w:p>
    <w:p w14:paraId="552BF152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</w:p>
    <w:p w14:paraId="11D5AE89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03</w:t>
      </w:r>
    </w:p>
    <w:p w14:paraId="4D9565C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4.12. A CONTRATADA deverá fornecer uma solução web, que permita a emissão de relatórios de consumo de franquia dos dados, apresentando, no mínimo, grupo de usuários, operadora de Internet Móvel, período utilização e tipo de aplicações consultadas.</w:t>
      </w:r>
    </w:p>
    <w:p w14:paraId="776E835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Esclarecemos que esta operadora não disponibiliza os relatórios por grupo de usuários e nem por tipo de aplicações consultas. Diante da impossibilidade desta operadora solicitamos que seja retirado estas exigências para participação desta operadora no credenciamento.</w:t>
      </w:r>
    </w:p>
    <w:p w14:paraId="65B1B111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Nossa solicitação será contrata?</w:t>
      </w:r>
    </w:p>
    <w:p w14:paraId="6CE2BACE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Sim.</w:t>
      </w:r>
    </w:p>
    <w:p w14:paraId="512564AD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04</w:t>
      </w:r>
    </w:p>
    <w:p w14:paraId="229413CC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4.14. A CONTRATADA deverá prestar o serviço de Internet Patrocinada, objetivando a isenção do tráfego de dados aos alunos das escolas SENAI de todo o Brasil, através de aplicativos para celulares indicados pelo SENAI Departamento Nacional, sujeito a viabilidade técnica.</w:t>
      </w:r>
    </w:p>
    <w:p w14:paraId="25C82F82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Referente aos serviços de internet patrocinada, esclarecemos que o serviço será disponibilizado para quem tiver acesso ao aplicativo disponibilizado pelo SENAI e o acesso (login e Senha) deverá ser provido pelo SENAI.</w:t>
      </w:r>
    </w:p>
    <w:p w14:paraId="0BD36320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Nosso entendimento está correto?</w:t>
      </w:r>
    </w:p>
    <w:p w14:paraId="478E6E62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3E2D8270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Sim.</w:t>
      </w:r>
    </w:p>
    <w:p w14:paraId="72F1DE8C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05</w:t>
      </w:r>
    </w:p>
    <w:p w14:paraId="43F39539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4.15. Como parte dos serviços, cada operadora deverá disponibilizar relatórios de tráfego com</w:t>
      </w:r>
    </w:p>
    <w:p w14:paraId="72B088FD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 xml:space="preserve">informações sobre o volume de dados utilizados, junto a cada fatura mensal ou </w:t>
      </w:r>
      <w:r w:rsidRPr="00010179">
        <w:rPr>
          <w:rFonts w:ascii="Arial Narrow" w:hAnsi="Arial Narrow" w:cs="Calibri-Bold"/>
          <w:b/>
          <w:bCs/>
          <w:sz w:val="24"/>
          <w:szCs w:val="24"/>
        </w:rPr>
        <w:t>consumo pré-pago.</w:t>
      </w:r>
    </w:p>
    <w:p w14:paraId="7984579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Não localizamos no edital cobrança para consumo pré-pago informado no item acima, solicitamos mais detalhamento desta cobrança.</w:t>
      </w:r>
    </w:p>
    <w:p w14:paraId="6520CAC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360FA0BD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Desconsiderar a citação “consumo pré-pago”</w:t>
      </w:r>
    </w:p>
    <w:p w14:paraId="10963CD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06</w:t>
      </w:r>
    </w:p>
    <w:p w14:paraId="6EA8D733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5.10. Para efeitos manutenção do histórico, a CONTRATADA deve manter o histórico dos dados à disposição da CONTRATANTE por um período mínimo de 1 (um) ano, após o término do contrato</w:t>
      </w:r>
      <w:r w:rsidRPr="00010179">
        <w:rPr>
          <w:rFonts w:ascii="Arial Narrow" w:hAnsi="Arial Narrow" w:cs="Calibri-Bold"/>
          <w:b/>
          <w:bCs/>
          <w:sz w:val="24"/>
          <w:szCs w:val="24"/>
        </w:rPr>
        <w:t>.</w:t>
      </w:r>
    </w:p>
    <w:p w14:paraId="5E54AA39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Informamos que não temos mantemos o histórico dos dados após o encerramento do contrato. Diante dos fatos solicitamos a exclusão desta exigência.</w:t>
      </w:r>
    </w:p>
    <w:p w14:paraId="71133FB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0A806F15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Desconsiderar item 5.10.</w:t>
      </w:r>
    </w:p>
    <w:p w14:paraId="7C32283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07</w:t>
      </w:r>
    </w:p>
    <w:p w14:paraId="2B3D6035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8.1 A CONTRATADA deverá disponibilizar “serviço de atendimento ao cliente”, na modalidade</w:t>
      </w:r>
    </w:p>
    <w:p w14:paraId="6CA09AE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lastRenderedPageBreak/>
        <w:t>11x5x365" (onze horas por dia, cinco dias úteis por semana, ao longo do ano, iniciando o atendimento às 8h da manhã.</w:t>
      </w:r>
    </w:p>
    <w:p w14:paraId="6863A553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8.4 Os chamados poderão ser feitos por linhas telefônicas de tarifa compartilhada nas capitais e regiões metropolitanas (por exemplo 4001, 4002, 4004) e 0800 nas demais localidades ou e-mail ou extranet, ou pelos próprios canais oficinais fornecidos pelas operadoras.</w:t>
      </w:r>
    </w:p>
    <w:p w14:paraId="51CA427C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 xml:space="preserve">Entendemos que o atendimento ao cliente oferecido pela operadora aos usuários do serviço (alunos e professores) se restringe às dúvidas sobre o acesso móvel (cobertura, </w:t>
      </w:r>
      <w:proofErr w:type="gramStart"/>
      <w:r w:rsidRPr="00010179">
        <w:rPr>
          <w:rFonts w:ascii="Arial Narrow" w:hAnsi="Arial Narrow" w:cs="Calibri"/>
          <w:sz w:val="24"/>
          <w:szCs w:val="24"/>
        </w:rPr>
        <w:t xml:space="preserve">fatura, </w:t>
      </w:r>
      <w:proofErr w:type="spellStart"/>
      <w:r w:rsidRPr="00010179">
        <w:rPr>
          <w:rFonts w:ascii="Arial Narrow" w:hAnsi="Arial Narrow" w:cs="Calibri"/>
          <w:sz w:val="24"/>
          <w:szCs w:val="24"/>
        </w:rPr>
        <w:t>etc</w:t>
      </w:r>
      <w:proofErr w:type="spellEnd"/>
      <w:proofErr w:type="gramEnd"/>
      <w:r w:rsidRPr="00010179">
        <w:rPr>
          <w:rFonts w:ascii="Arial Narrow" w:hAnsi="Arial Narrow" w:cs="Calibri"/>
          <w:sz w:val="24"/>
          <w:szCs w:val="24"/>
        </w:rPr>
        <w:t>). Todas as dúvidas relativas ao aplicativo serão de responsabilidade do SENAI.</w:t>
      </w:r>
    </w:p>
    <w:p w14:paraId="57656703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Nosso entendimento está correto?</w:t>
      </w:r>
    </w:p>
    <w:p w14:paraId="682DC15E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3E6026D7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Sim.</w:t>
      </w:r>
    </w:p>
    <w:p w14:paraId="09BECAF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08</w:t>
      </w:r>
    </w:p>
    <w:p w14:paraId="777D3CCB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15.2.6. Assumir inteira responsabilidade pela entrega dos materiais, responsabilizando-se pelo</w:t>
      </w:r>
    </w:p>
    <w:p w14:paraId="1A923A80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transporte, acondicionamento e descarregamento dos materiais.</w:t>
      </w:r>
    </w:p>
    <w:p w14:paraId="76DAF2A0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15.2.7. Responsabilizar-se pela garantia dos materiais empregados nos itens solicitados, dentro dos padrões adequados de qualidade, segurança, durabilidade e desempenho, conforme previsto na legislação em vigor e na forma exigida neste termo de referência.</w:t>
      </w:r>
    </w:p>
    <w:p w14:paraId="489AD1D2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Referente aos itens acima supracitados, não fazem parte da contratação dos serviços de Internet Patrocinada e não faz parte do escopo do serviço Internet Patrocinada. Solicitamos a exclusão dos itens acima.</w:t>
      </w:r>
    </w:p>
    <w:p w14:paraId="76703C21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4ABFABD5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Desconsiderar itens 15.2.6 e 15.2.7</w:t>
      </w:r>
    </w:p>
    <w:p w14:paraId="21C5A3F1" w14:textId="77777777" w:rsid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</w:p>
    <w:p w14:paraId="362FEF4F" w14:textId="3B50B1E6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7A64A0">
        <w:rPr>
          <w:rFonts w:ascii="Arial Narrow" w:hAnsi="Arial Narrow" w:cs="Calibri-Bold"/>
          <w:b/>
          <w:bCs/>
          <w:sz w:val="24"/>
          <w:szCs w:val="24"/>
        </w:rPr>
        <w:t>Esclarecimento 09</w:t>
      </w:r>
    </w:p>
    <w:p w14:paraId="67FC76E0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HABILITAÇÃO JURÍDICA</w:t>
      </w:r>
    </w:p>
    <w:p w14:paraId="5B694CA9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4.6. Para fins de habilitação jurídica, a empresa deverá apresentar:</w:t>
      </w:r>
    </w:p>
    <w:p w14:paraId="71AECEB3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4.6.1. Ato constitutivo, estatuto ou contrato social em vigor, devidamente registrado.</w:t>
      </w:r>
    </w:p>
    <w:p w14:paraId="5A3CAB07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No tópico que trata da Habilitação Jurídica, entendemos que a apresentação do Contrato Social ou Estatuto, deverá ser através de cópia autenticada. Entretanto, no estado do Rio de Janeiro, a JUCERJA (Junta Comercial) já opera com o sistema de chancela digital e pode ter suas autenticidades confirmadas através do site do Órgão, conforme descrito no rodapé dos documentos, de acordo com o publicado no DOERJ de 19/04/2013 e amparo normativo Deliberação JUCERJA nº 74/2014.</w:t>
      </w:r>
    </w:p>
    <w:p w14:paraId="647A0B13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Ainda sobre o tema, vale destacar a fundamentação legal sobre a validade jurídica dos documentos com a certificação digital está prevista no art. 1º da Medida Provisória nº 2.200-2, de 24 de agosto de 2001.</w:t>
      </w:r>
    </w:p>
    <w:p w14:paraId="3907C872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“Art. 1º - Fica instituída a Infraestrutura de Chaves Públicas Brasileira - ICP-Brasil, para garantir a autenticidade, a integridade e a validade jurídica de documentos em forma eletrônica, das aplicações de suporte e das aplicações habilitadas que utilizem certificados digitais, bem como a realização de transações eletrônicas seguras.”</w:t>
      </w:r>
    </w:p>
    <w:p w14:paraId="7AA19082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Desta forma, a produção de vias autenticadas junto aos Cartórios não é necessária, pois, em razão da chancela eletrônica contida nos respectivos documentos, estes equivalem à via original emitida pelo Órgão podendo, assim, nos abster da autenticação cartorial para o Contrato Social.</w:t>
      </w:r>
    </w:p>
    <w:p w14:paraId="2331B5ED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451D11C0" w14:textId="77777777" w:rsidR="007A64A0" w:rsidRP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7A64A0">
        <w:rPr>
          <w:rFonts w:ascii="Arial Narrow" w:hAnsi="Arial Narrow" w:cs="Calibri"/>
          <w:sz w:val="24"/>
          <w:szCs w:val="24"/>
        </w:rPr>
        <w:t>Nosso entendimento está correto?</w:t>
      </w:r>
    </w:p>
    <w:p w14:paraId="0E303A8F" w14:textId="362F10CB" w:rsidR="007A64A0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7A64A0">
        <w:rPr>
          <w:rFonts w:ascii="Arial Narrow" w:hAnsi="Arial Narrow" w:cs="Calibri"/>
          <w:b/>
          <w:bCs/>
          <w:sz w:val="24"/>
          <w:szCs w:val="24"/>
        </w:rPr>
        <w:t>Resposta:</w:t>
      </w:r>
      <w:r>
        <w:rPr>
          <w:rFonts w:ascii="Arial Narrow" w:hAnsi="Arial Narrow" w:cs="Calibri"/>
          <w:b/>
          <w:bCs/>
          <w:sz w:val="24"/>
          <w:szCs w:val="24"/>
        </w:rPr>
        <w:t xml:space="preserve"> Sim.</w:t>
      </w:r>
    </w:p>
    <w:p w14:paraId="46A41715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6B433299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2ª Solicitação de Esclarecimentos</w:t>
      </w:r>
    </w:p>
    <w:p w14:paraId="0BF90FB2" w14:textId="5DD6F6D6" w:rsidR="007A64A0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AC86695" w14:textId="77777777" w:rsidR="00D40172" w:rsidRPr="00010179" w:rsidRDefault="00D40172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CDBD9BB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lastRenderedPageBreak/>
        <w:t>Esclarecimento 01</w:t>
      </w:r>
    </w:p>
    <w:p w14:paraId="493CD25E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 xml:space="preserve">8.4 Os chamados poderão ser </w:t>
      </w:r>
      <w:r w:rsidRPr="00010179">
        <w:rPr>
          <w:rFonts w:ascii="Arial Narrow" w:hAnsi="Arial Narrow" w:cs="Calibri-Bold"/>
          <w:b/>
          <w:bCs/>
          <w:sz w:val="24"/>
          <w:szCs w:val="24"/>
        </w:rPr>
        <w:t>feitos por linhas telefônicas de tarifa compartilhada nas</w:t>
      </w:r>
      <w:r>
        <w:rPr>
          <w:rFonts w:ascii="Arial Narrow" w:hAnsi="Arial Narrow" w:cs="Calibri-Bold"/>
          <w:b/>
          <w:bCs/>
          <w:sz w:val="24"/>
          <w:szCs w:val="24"/>
        </w:rPr>
        <w:t xml:space="preserve"> </w:t>
      </w:r>
      <w:r w:rsidRPr="00010179">
        <w:rPr>
          <w:rFonts w:ascii="Arial Narrow" w:hAnsi="Arial Narrow" w:cs="Calibri-Bold"/>
          <w:b/>
          <w:bCs/>
          <w:sz w:val="24"/>
          <w:szCs w:val="24"/>
        </w:rPr>
        <w:t xml:space="preserve">capitais e regiões metropolitanas (por exemplo 4001, 4002, 4004) e 0800 </w:t>
      </w:r>
      <w:r w:rsidRPr="00010179">
        <w:rPr>
          <w:rFonts w:ascii="Arial Narrow" w:hAnsi="Arial Narrow" w:cs="Calibri"/>
          <w:sz w:val="24"/>
          <w:szCs w:val="24"/>
        </w:rPr>
        <w:t>nas demais</w:t>
      </w:r>
    </w:p>
    <w:p w14:paraId="3D5F4EAB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localidades ou e-mail ou extranet, ou pelos próprios canais oficinais fornecidos pelas</w:t>
      </w:r>
    </w:p>
    <w:p w14:paraId="0C59CCE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operadoras.</w:t>
      </w:r>
    </w:p>
    <w:p w14:paraId="6C160757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Escalaremos que para a prestação de serviços de internet patrocinada, existe atuação de empresas parceiras que atuam de forma a entregar uma plataforma capaz de integrar às quatro operadoras no objeto do contrato e prestação dos serviços de suporte. Para adequação dos serviços que serão prestados, informamos que os serviços de suporte e abertura de chamados são realizados</w:t>
      </w:r>
    </w:p>
    <w:p w14:paraId="24247D82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somente por e-mail e web.</w:t>
      </w:r>
    </w:p>
    <w:p w14:paraId="26EFA318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Diante dos fatos, solicitamos que os chamados sejam realizados por e-mail e web.</w:t>
      </w:r>
    </w:p>
    <w:p w14:paraId="52509267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Nossa solicitação será acatada?</w:t>
      </w:r>
    </w:p>
    <w:p w14:paraId="780D6C9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360B70F0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>Resposta: Sim desde que considerado a manutenção do texto “ou pelos próprios canais oficinais fornecidos pelas operadoras”.</w:t>
      </w:r>
    </w:p>
    <w:p w14:paraId="6FF874BC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4"/>
          <w:szCs w:val="24"/>
        </w:rPr>
      </w:pPr>
      <w:r w:rsidRPr="00010179">
        <w:rPr>
          <w:rFonts w:ascii="Arial Narrow" w:hAnsi="Arial Narrow" w:cs="Calibri-Bold"/>
          <w:b/>
          <w:bCs/>
          <w:sz w:val="24"/>
          <w:szCs w:val="24"/>
        </w:rPr>
        <w:t>Esclarecimento 02</w:t>
      </w:r>
    </w:p>
    <w:p w14:paraId="29A3506D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 xml:space="preserve">9.3. “HORÁRIO PRIMÁRIO” é definido como o horário comercial local das 8h às 19h, exceto feriados locais. “HORÁRIO SECUNDÁRIO” é aquele referente aos demais horários </w:t>
      </w:r>
      <w:proofErr w:type="gramStart"/>
      <w:r w:rsidRPr="00010179">
        <w:rPr>
          <w:rFonts w:ascii="Arial Narrow" w:hAnsi="Arial Narrow" w:cs="Calibri"/>
          <w:sz w:val="24"/>
          <w:szCs w:val="24"/>
        </w:rPr>
        <w:t>onde</w:t>
      </w:r>
      <w:proofErr w:type="gramEnd"/>
      <w:r w:rsidRPr="00010179">
        <w:rPr>
          <w:rFonts w:ascii="Arial Narrow" w:hAnsi="Arial Narrow" w:cs="Calibri"/>
          <w:sz w:val="24"/>
          <w:szCs w:val="24"/>
        </w:rPr>
        <w:t xml:space="preserve"> será fornecido Suporte de Prioridade 1.</w:t>
      </w:r>
    </w:p>
    <w:p w14:paraId="79513073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tbl>
      <w:tblPr>
        <w:tblW w:w="8505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56" w:type="dxa"/>
        </w:tblCellMar>
        <w:tblLook w:val="0000" w:firstRow="0" w:lastRow="0" w:firstColumn="0" w:lastColumn="0" w:noHBand="0" w:noVBand="0"/>
      </w:tblPr>
      <w:tblGrid>
        <w:gridCol w:w="2775"/>
        <w:gridCol w:w="1304"/>
        <w:gridCol w:w="4426"/>
      </w:tblGrid>
      <w:tr w:rsidR="007A64A0" w:rsidRPr="00010179" w14:paraId="3113BB45" w14:textId="77777777" w:rsidTr="00D40D1B">
        <w:trPr>
          <w:cantSplit/>
          <w:trHeight w:val="461"/>
          <w:tblHeader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left w:w="47" w:type="dxa"/>
            </w:tcMar>
          </w:tcPr>
          <w:p w14:paraId="3ABC973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HORÁRIO SECUNDÁRIO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left w:w="47" w:type="dxa"/>
            </w:tcMar>
          </w:tcPr>
          <w:p w14:paraId="700251D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4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left w:w="47" w:type="dxa"/>
            </w:tcMar>
          </w:tcPr>
          <w:p w14:paraId="240A0FF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P2</w:t>
            </w:r>
          </w:p>
        </w:tc>
      </w:tr>
      <w:tr w:rsidR="007A64A0" w:rsidRPr="00010179" w14:paraId="6071D157" w14:textId="77777777" w:rsidTr="007A64A0">
        <w:trPr>
          <w:cantSplit/>
          <w:trHeight w:val="261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040A8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Tempo de Resposta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F159DCF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60 min</w:t>
            </w:r>
          </w:p>
        </w:tc>
        <w:tc>
          <w:tcPr>
            <w:tcW w:w="4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B53FF30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2 horas</w:t>
            </w:r>
          </w:p>
        </w:tc>
      </w:tr>
      <w:tr w:rsidR="007A64A0" w:rsidRPr="00010179" w14:paraId="4FF830A1" w14:textId="77777777" w:rsidTr="007A64A0">
        <w:trPr>
          <w:cantSplit/>
          <w:trHeight w:val="227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978EF0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Escalada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F76425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5 horas</w:t>
            </w:r>
          </w:p>
        </w:tc>
        <w:tc>
          <w:tcPr>
            <w:tcW w:w="4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6DB23C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24 horas</w:t>
            </w:r>
          </w:p>
        </w:tc>
      </w:tr>
      <w:tr w:rsidR="007A64A0" w:rsidRPr="00010179" w14:paraId="0F1534F5" w14:textId="77777777" w:rsidTr="007A64A0">
        <w:trPr>
          <w:cantSplit/>
          <w:trHeight w:val="255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F6E7843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Tempo de Restauração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C089222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8 horas</w:t>
            </w:r>
          </w:p>
        </w:tc>
        <w:tc>
          <w:tcPr>
            <w:tcW w:w="4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FDAFC7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36 horas</w:t>
            </w:r>
          </w:p>
        </w:tc>
      </w:tr>
      <w:tr w:rsidR="007A64A0" w:rsidRPr="00010179" w14:paraId="0ECB1667" w14:textId="77777777" w:rsidTr="00D40D1B">
        <w:trPr>
          <w:cantSplit/>
          <w:trHeight w:val="281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9D640F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Tempo de Resolução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14711D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1 semana</w:t>
            </w:r>
          </w:p>
        </w:tc>
        <w:tc>
          <w:tcPr>
            <w:tcW w:w="4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B441AF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2 semanas</w:t>
            </w:r>
          </w:p>
        </w:tc>
      </w:tr>
    </w:tbl>
    <w:p w14:paraId="20272864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194535EF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10179">
        <w:rPr>
          <w:rFonts w:ascii="Arial Narrow" w:hAnsi="Arial Narrow" w:cs="Calibri"/>
          <w:sz w:val="24"/>
          <w:szCs w:val="24"/>
        </w:rPr>
        <w:t>Esclarecemos que a prestação de reparo e realizado por empresa parceira que atende as operadoras, e de acordo com SLA para o horário secundário será oferecido somente suporte de prioridade 1 sendo assim, solicitamos adequação do SLA conforme apresentando abaixo;</w:t>
      </w:r>
    </w:p>
    <w:tbl>
      <w:tblPr>
        <w:tblW w:w="4079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56" w:type="dxa"/>
        </w:tblCellMar>
        <w:tblLook w:val="0000" w:firstRow="0" w:lastRow="0" w:firstColumn="0" w:lastColumn="0" w:noHBand="0" w:noVBand="0"/>
      </w:tblPr>
      <w:tblGrid>
        <w:gridCol w:w="2775"/>
        <w:gridCol w:w="1304"/>
      </w:tblGrid>
      <w:tr w:rsidR="007A64A0" w:rsidRPr="00010179" w14:paraId="2655B7A8" w14:textId="77777777" w:rsidTr="007A64A0">
        <w:trPr>
          <w:cantSplit/>
          <w:trHeight w:val="461"/>
          <w:tblHeader/>
          <w:jc w:val="center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left w:w="47" w:type="dxa"/>
            </w:tcMar>
          </w:tcPr>
          <w:p w14:paraId="2B321C5A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Demais Horas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tcMar>
              <w:left w:w="47" w:type="dxa"/>
            </w:tcMar>
          </w:tcPr>
          <w:p w14:paraId="3C766D8E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P1</w:t>
            </w:r>
          </w:p>
        </w:tc>
      </w:tr>
      <w:tr w:rsidR="007A64A0" w:rsidRPr="00010179" w14:paraId="594E703A" w14:textId="77777777" w:rsidTr="007A64A0">
        <w:trPr>
          <w:cantSplit/>
          <w:trHeight w:val="261"/>
          <w:jc w:val="center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1735E0E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Tempo de Resposta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1EC178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60 min</w:t>
            </w:r>
          </w:p>
        </w:tc>
      </w:tr>
      <w:tr w:rsidR="007A64A0" w:rsidRPr="00010179" w14:paraId="01BE7F7A" w14:textId="77777777" w:rsidTr="007A64A0">
        <w:trPr>
          <w:cantSplit/>
          <w:trHeight w:val="265"/>
          <w:jc w:val="center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343C09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Escalada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F0036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5 horas</w:t>
            </w:r>
          </w:p>
        </w:tc>
      </w:tr>
      <w:tr w:rsidR="007A64A0" w:rsidRPr="00010179" w14:paraId="2A37E396" w14:textId="77777777" w:rsidTr="007A64A0">
        <w:trPr>
          <w:cantSplit/>
          <w:trHeight w:val="255"/>
          <w:jc w:val="center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42D19A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Tempo de Restauração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13CF2B5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8 horas</w:t>
            </w:r>
          </w:p>
        </w:tc>
      </w:tr>
      <w:tr w:rsidR="007A64A0" w:rsidRPr="00010179" w14:paraId="0F977BD6" w14:textId="77777777" w:rsidTr="007A64A0">
        <w:trPr>
          <w:cantSplit/>
          <w:trHeight w:val="281"/>
          <w:jc w:val="center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D22B3E1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b/>
                <w:bCs/>
                <w:sz w:val="24"/>
                <w:szCs w:val="24"/>
              </w:rPr>
              <w:t>Tempo de Resolução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75B9607" w14:textId="77777777" w:rsidR="007A64A0" w:rsidRPr="00010179" w:rsidRDefault="007A64A0" w:rsidP="007A64A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179">
              <w:rPr>
                <w:rFonts w:ascii="Arial Narrow" w:hAnsi="Arial Narrow"/>
                <w:sz w:val="24"/>
                <w:szCs w:val="24"/>
              </w:rPr>
              <w:t>1 semana</w:t>
            </w:r>
          </w:p>
        </w:tc>
      </w:tr>
    </w:tbl>
    <w:p w14:paraId="41768CCB" w14:textId="77777777" w:rsidR="007A64A0" w:rsidRPr="00010179" w:rsidRDefault="007A64A0" w:rsidP="007A64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042F98" w14:textId="77777777" w:rsidR="007A64A0" w:rsidRPr="00010179" w:rsidRDefault="007A64A0" w:rsidP="007A64A0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010179">
        <w:rPr>
          <w:rFonts w:ascii="Arial Narrow" w:hAnsi="Arial Narrow" w:cs="Calibri"/>
          <w:b/>
          <w:bCs/>
          <w:sz w:val="24"/>
          <w:szCs w:val="24"/>
        </w:rPr>
        <w:t xml:space="preserve">Resposta: Desconsiderar “suporte prioridade 2 (P2)” </w:t>
      </w:r>
    </w:p>
    <w:p w14:paraId="63CF4DCC" w14:textId="77777777" w:rsidR="009B5D70" w:rsidRPr="00F94464" w:rsidRDefault="009B5D70" w:rsidP="007A64A0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386C0D9" w14:textId="0A9DD3B4" w:rsidR="0097751C" w:rsidRPr="00F94464" w:rsidRDefault="0097751C" w:rsidP="007A64A0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94464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25C7675F" w14:textId="77777777" w:rsidR="00D40172" w:rsidRDefault="00D40172" w:rsidP="007A64A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75A9EF18" w14:textId="1534CDC9" w:rsidR="0097751C" w:rsidRDefault="0097751C" w:rsidP="007A64A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F94464">
        <w:rPr>
          <w:rFonts w:ascii="Arial Narrow" w:hAnsi="Arial Narrow"/>
          <w:sz w:val="24"/>
          <w:szCs w:val="24"/>
        </w:rPr>
        <w:t xml:space="preserve">Brasília, </w:t>
      </w:r>
      <w:r w:rsidR="00921077">
        <w:rPr>
          <w:rFonts w:ascii="Arial Narrow" w:hAnsi="Arial Narrow"/>
          <w:sz w:val="24"/>
          <w:szCs w:val="24"/>
        </w:rPr>
        <w:t>11</w:t>
      </w:r>
      <w:r w:rsidRPr="00F94464">
        <w:rPr>
          <w:rFonts w:ascii="Arial Narrow" w:hAnsi="Arial Narrow"/>
          <w:sz w:val="24"/>
          <w:szCs w:val="24"/>
        </w:rPr>
        <w:t xml:space="preserve"> de </w:t>
      </w:r>
      <w:r w:rsidR="00921077">
        <w:rPr>
          <w:rFonts w:ascii="Arial Narrow" w:hAnsi="Arial Narrow"/>
          <w:sz w:val="24"/>
          <w:szCs w:val="24"/>
        </w:rPr>
        <w:t>agosto</w:t>
      </w:r>
      <w:r w:rsidRPr="00F94464">
        <w:rPr>
          <w:rFonts w:ascii="Arial Narrow" w:hAnsi="Arial Narrow"/>
          <w:sz w:val="24"/>
          <w:szCs w:val="24"/>
        </w:rPr>
        <w:t xml:space="preserve"> de 2021.</w:t>
      </w:r>
    </w:p>
    <w:p w14:paraId="21171180" w14:textId="77777777" w:rsidR="007A64A0" w:rsidRPr="00F94464" w:rsidRDefault="007A64A0" w:rsidP="007A64A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10002A8D" w14:textId="77777777" w:rsidR="0097751C" w:rsidRPr="00F94464" w:rsidRDefault="0097751C" w:rsidP="007A64A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94464">
        <w:rPr>
          <w:rFonts w:ascii="Arial Narrow" w:hAnsi="Arial Narrow"/>
          <w:sz w:val="24"/>
          <w:szCs w:val="24"/>
        </w:rPr>
        <w:t>___________________________________</w:t>
      </w:r>
    </w:p>
    <w:p w14:paraId="716D1785" w14:textId="77777777" w:rsidR="0097751C" w:rsidRPr="00F94464" w:rsidRDefault="0097751C" w:rsidP="007A64A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94464">
        <w:rPr>
          <w:rFonts w:ascii="Arial Narrow" w:hAnsi="Arial Narrow"/>
          <w:sz w:val="24"/>
          <w:szCs w:val="24"/>
        </w:rPr>
        <w:t>Comissão Permanente de Licitação - CPL</w:t>
      </w:r>
    </w:p>
    <w:p w14:paraId="223E1A61" w14:textId="77777777" w:rsidR="0097751C" w:rsidRPr="00F94464" w:rsidRDefault="0097751C" w:rsidP="007A64A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97751C" w:rsidRPr="00F9446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87AC" w14:textId="77777777" w:rsidR="00676885" w:rsidRDefault="00676885" w:rsidP="008C058C">
      <w:pPr>
        <w:spacing w:after="0" w:line="240" w:lineRule="auto"/>
      </w:pPr>
      <w:r>
        <w:separator/>
      </w:r>
    </w:p>
  </w:endnote>
  <w:endnote w:type="continuationSeparator" w:id="0">
    <w:p w14:paraId="4F36BBFB" w14:textId="77777777" w:rsidR="00676885" w:rsidRDefault="00676885" w:rsidP="008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56268" w14:textId="77777777" w:rsidR="00676885" w:rsidRDefault="00676885" w:rsidP="008C058C">
      <w:pPr>
        <w:spacing w:after="0" w:line="240" w:lineRule="auto"/>
      </w:pPr>
      <w:r>
        <w:separator/>
      </w:r>
    </w:p>
  </w:footnote>
  <w:footnote w:type="continuationSeparator" w:id="0">
    <w:p w14:paraId="432E3605" w14:textId="77777777" w:rsidR="00676885" w:rsidRDefault="00676885" w:rsidP="008C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02AE" w14:textId="25CA3FA5" w:rsidR="008C058C" w:rsidRDefault="00446235" w:rsidP="00C27024">
    <w:pPr>
      <w:pStyle w:val="Cabealho"/>
      <w:jc w:val="center"/>
    </w:pPr>
    <w:r w:rsidRPr="007040D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F86625" wp14:editId="2A98B7DC">
          <wp:simplePos x="0" y="0"/>
          <wp:positionH relativeFrom="margin">
            <wp:posOffset>1917511</wp:posOffset>
          </wp:positionH>
          <wp:positionV relativeFrom="paragraph">
            <wp:posOffset>-177838</wp:posOffset>
          </wp:positionV>
          <wp:extent cx="1496060" cy="541655"/>
          <wp:effectExtent l="0" t="0" r="8890" b="0"/>
          <wp:wrapSquare wrapText="bothSides"/>
          <wp:docPr id="8" name="Imagem 8" descr="C:\Users\e-andreza.alencar\Downloads\Logo-SENA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andreza.alencar\Downloads\Logo-SENAI-Azul-P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8C"/>
    <w:rsid w:val="0006224D"/>
    <w:rsid w:val="0006708F"/>
    <w:rsid w:val="002D560C"/>
    <w:rsid w:val="00432A02"/>
    <w:rsid w:val="00446235"/>
    <w:rsid w:val="00676885"/>
    <w:rsid w:val="007A64A0"/>
    <w:rsid w:val="00873800"/>
    <w:rsid w:val="008C058C"/>
    <w:rsid w:val="00921077"/>
    <w:rsid w:val="0097751C"/>
    <w:rsid w:val="009B5D70"/>
    <w:rsid w:val="009D5949"/>
    <w:rsid w:val="00AC4707"/>
    <w:rsid w:val="00B56D88"/>
    <w:rsid w:val="00BA4816"/>
    <w:rsid w:val="00C0633A"/>
    <w:rsid w:val="00C27024"/>
    <w:rsid w:val="00C34B3C"/>
    <w:rsid w:val="00C42ED9"/>
    <w:rsid w:val="00D40172"/>
    <w:rsid w:val="00D95F3C"/>
    <w:rsid w:val="00E25FA9"/>
    <w:rsid w:val="00F17FD7"/>
    <w:rsid w:val="00F77746"/>
    <w:rsid w:val="00F94464"/>
    <w:rsid w:val="00FA5E90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E8E"/>
  <w15:chartTrackingRefBased/>
  <w15:docId w15:val="{7626405D-E3FC-4D8F-9A4D-4435C1A7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0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58C"/>
  </w:style>
  <w:style w:type="paragraph" w:styleId="Rodap">
    <w:name w:val="footer"/>
    <w:basedOn w:val="Normal"/>
    <w:link w:val="RodapChar"/>
    <w:uiPriority w:val="99"/>
    <w:unhideWhenUsed/>
    <w:rsid w:val="008C0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58C"/>
  </w:style>
  <w:style w:type="paragraph" w:styleId="Textodebalo">
    <w:name w:val="Balloon Text"/>
    <w:basedOn w:val="Normal"/>
    <w:link w:val="TextodebaloChar"/>
    <w:uiPriority w:val="99"/>
    <w:semiHidden/>
    <w:unhideWhenUsed/>
    <w:rsid w:val="00F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FD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F9446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PargrafodaListaChar">
    <w:name w:val="Parágrafo da Lista Char"/>
    <w:link w:val="PargrafodaLista"/>
    <w:uiPriority w:val="34"/>
    <w:rsid w:val="00F94464"/>
    <w:rPr>
      <w:rFonts w:ascii="Arial" w:eastAsia="Times New Roman" w:hAnsi="Arial" w:cs="Times New Roman"/>
      <w:sz w:val="24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92107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921077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7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F96F5451E14B45AE8C8E4BB464F524" ma:contentTypeVersion="14" ma:contentTypeDescription="Crie um novo documento." ma:contentTypeScope="" ma:versionID="ece35e4c264b08be6cd44456d0abb155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5348c6b4b5d9e756a99cc8f9c7cd039a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D720C-E8CC-4903-83DE-28E84AAEE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5D258-0521-454A-BBBE-2DEEBD54A244}">
  <ds:schemaRefs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7e6c51b5-6832-4a14-acc3-a00f379b0481"/>
    <ds:schemaRef ds:uri="370554bd-072d-4106-97cf-38ea6d998e0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524B9E-9F19-4AA1-B16A-4D12C28D1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1731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Valnize Ferreira da Cruz</dc:creator>
  <cp:keywords/>
  <dc:description/>
  <cp:lastModifiedBy>Dulce Spies</cp:lastModifiedBy>
  <cp:revision>3</cp:revision>
  <dcterms:created xsi:type="dcterms:W3CDTF">2021-08-11T19:28:00Z</dcterms:created>
  <dcterms:modified xsi:type="dcterms:W3CDTF">2021-08-11T19:29:00Z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