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91A3F" w14:textId="77777777" w:rsidR="00932BF2" w:rsidRDefault="00932BF2" w:rsidP="00255E99">
      <w:pPr>
        <w:spacing w:after="0" w:line="240" w:lineRule="auto"/>
        <w:ind w:right="-1"/>
        <w:jc w:val="center"/>
        <w:rPr>
          <w:rFonts w:ascii="Arial Narrow" w:eastAsia="Times New Roman" w:hAnsi="Arial Narrow" w:cs="Arial"/>
          <w:b/>
          <w:bCs/>
          <w:color w:val="000000"/>
          <w:sz w:val="24"/>
          <w:szCs w:val="24"/>
          <w:lang w:eastAsia="pt-BR"/>
        </w:rPr>
      </w:pPr>
    </w:p>
    <w:p w14:paraId="57F09CF4" w14:textId="77777777" w:rsidR="00255E99" w:rsidRPr="007D4782" w:rsidRDefault="00255E99" w:rsidP="00255E99">
      <w:pPr>
        <w:spacing w:after="0" w:line="240" w:lineRule="auto"/>
        <w:ind w:right="-1"/>
        <w:jc w:val="center"/>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PREGÃO PRESENCIAL Nº 44/2020</w:t>
      </w:r>
      <w:r>
        <w:rPr>
          <w:rFonts w:ascii="Arial Narrow" w:eastAsia="Times New Roman" w:hAnsi="Arial Narrow" w:cs="Arial"/>
          <w:b/>
          <w:bCs/>
          <w:color w:val="000000"/>
          <w:sz w:val="24"/>
          <w:szCs w:val="24"/>
          <w:lang w:eastAsia="pt-BR"/>
        </w:rPr>
        <w:t xml:space="preserve"> – PERGUNTAS E RESPOSTAS 1</w:t>
      </w:r>
    </w:p>
    <w:p w14:paraId="44C23414" w14:textId="77777777" w:rsidR="00255E99" w:rsidRPr="007D4782" w:rsidRDefault="00255E99" w:rsidP="00255E99">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 </w:t>
      </w:r>
    </w:p>
    <w:tbl>
      <w:tblPr>
        <w:tblW w:w="4912" w:type="pct"/>
        <w:jc w:val="center"/>
        <w:tblCellMar>
          <w:left w:w="0" w:type="dxa"/>
          <w:right w:w="0" w:type="dxa"/>
        </w:tblCellMar>
        <w:tblLook w:val="04A0" w:firstRow="1" w:lastRow="0" w:firstColumn="1" w:lastColumn="0" w:noHBand="0" w:noVBand="1"/>
      </w:tblPr>
      <w:tblGrid>
        <w:gridCol w:w="5093"/>
        <w:gridCol w:w="3242"/>
      </w:tblGrid>
      <w:tr w:rsidR="00255E99" w:rsidRPr="007D4782" w14:paraId="31A88419" w14:textId="77777777" w:rsidTr="00932BF2">
        <w:trPr>
          <w:trHeight w:val="451"/>
          <w:jc w:val="center"/>
        </w:trPr>
        <w:tc>
          <w:tcPr>
            <w:tcW w:w="3055"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954AB45" w14:textId="77777777" w:rsidR="00255E99" w:rsidRPr="007D4782" w:rsidRDefault="00255E99" w:rsidP="00255E99">
            <w:pPr>
              <w:widowControl w:val="0"/>
              <w:spacing w:after="0" w:line="240" w:lineRule="auto"/>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color w:val="000000"/>
                <w:sz w:val="24"/>
                <w:szCs w:val="24"/>
                <w:lang w:eastAsia="pt-BR"/>
              </w:rPr>
              <w:t xml:space="preserve">Processo: </w:t>
            </w:r>
            <w:r w:rsidRPr="007D4782">
              <w:rPr>
                <w:rFonts w:ascii="Arial Narrow" w:eastAsia="Times New Roman" w:hAnsi="Arial Narrow" w:cs="Arial"/>
                <w:b/>
                <w:color w:val="000000"/>
                <w:sz w:val="24"/>
                <w:szCs w:val="24"/>
                <w:lang w:eastAsia="pt-BR"/>
              </w:rPr>
              <w:t>PRO Nº 03168/2020 – SC 020313 - 020317</w:t>
            </w:r>
          </w:p>
        </w:tc>
        <w:tc>
          <w:tcPr>
            <w:tcW w:w="1945"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03B6542" w14:textId="77777777" w:rsidR="00255E99" w:rsidRPr="007D4782" w:rsidRDefault="00255E99" w:rsidP="00255E99">
            <w:pPr>
              <w:spacing w:after="0" w:line="240" w:lineRule="auto"/>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color w:val="000000"/>
                <w:sz w:val="24"/>
                <w:szCs w:val="24"/>
                <w:lang w:eastAsia="pt-BR"/>
              </w:rPr>
              <w:t>Tipo: Menor Preço Por Lote</w:t>
            </w:r>
          </w:p>
        </w:tc>
      </w:tr>
      <w:tr w:rsidR="00255E99" w:rsidRPr="007D4782" w14:paraId="1E3D1129" w14:textId="77777777" w:rsidTr="00932BF2">
        <w:trPr>
          <w:trHeight w:val="397"/>
          <w:jc w:val="center"/>
        </w:trPr>
        <w:tc>
          <w:tcPr>
            <w:tcW w:w="3055"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8E074F2" w14:textId="77777777" w:rsidR="00255E99" w:rsidRPr="007D4782" w:rsidRDefault="00255E99" w:rsidP="00255E99">
            <w:pPr>
              <w:spacing w:after="0" w:line="240" w:lineRule="auto"/>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color w:val="000000"/>
                <w:sz w:val="24"/>
                <w:szCs w:val="24"/>
                <w:lang w:eastAsia="pt-BR"/>
              </w:rPr>
              <w:t xml:space="preserve">Abertura: </w:t>
            </w:r>
            <w:r>
              <w:rPr>
                <w:rFonts w:ascii="Arial Narrow" w:eastAsia="Times New Roman" w:hAnsi="Arial Narrow" w:cs="Arial"/>
                <w:b/>
                <w:bCs/>
                <w:color w:val="000000"/>
                <w:sz w:val="24"/>
                <w:szCs w:val="24"/>
                <w:lang w:eastAsia="pt-BR"/>
              </w:rPr>
              <w:t>17/12</w:t>
            </w:r>
            <w:r w:rsidRPr="007D4782">
              <w:rPr>
                <w:rFonts w:ascii="Arial Narrow" w:eastAsia="Times New Roman" w:hAnsi="Arial Narrow" w:cs="Arial"/>
                <w:b/>
                <w:bCs/>
                <w:color w:val="000000"/>
                <w:sz w:val="24"/>
                <w:szCs w:val="24"/>
                <w:lang w:eastAsia="pt-BR"/>
              </w:rPr>
              <w:t>/2020</w:t>
            </w:r>
          </w:p>
        </w:tc>
        <w:tc>
          <w:tcPr>
            <w:tcW w:w="1945"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5F334CA" w14:textId="77777777" w:rsidR="00255E99" w:rsidRPr="007D4782" w:rsidRDefault="00255E99" w:rsidP="00255E99">
            <w:pPr>
              <w:spacing w:after="0" w:line="240" w:lineRule="auto"/>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color w:val="000000"/>
                <w:sz w:val="24"/>
                <w:szCs w:val="24"/>
                <w:lang w:eastAsia="pt-BR"/>
              </w:rPr>
              <w:t>Horário: 1</w:t>
            </w:r>
            <w:r>
              <w:rPr>
                <w:rFonts w:ascii="Arial Narrow" w:eastAsia="Times New Roman" w:hAnsi="Arial Narrow" w:cs="Arial"/>
                <w:b/>
                <w:bCs/>
                <w:color w:val="000000"/>
                <w:sz w:val="24"/>
                <w:szCs w:val="24"/>
                <w:lang w:eastAsia="pt-BR"/>
              </w:rPr>
              <w:t>5</w:t>
            </w:r>
            <w:r w:rsidRPr="007D4782">
              <w:rPr>
                <w:rFonts w:ascii="Arial Narrow" w:eastAsia="Times New Roman" w:hAnsi="Arial Narrow" w:cs="Arial"/>
                <w:b/>
                <w:bCs/>
                <w:color w:val="000000"/>
                <w:sz w:val="24"/>
                <w:szCs w:val="24"/>
                <w:lang w:eastAsia="pt-BR"/>
              </w:rPr>
              <w:t xml:space="preserve"> horas</w:t>
            </w:r>
          </w:p>
        </w:tc>
      </w:tr>
      <w:tr w:rsidR="00255E99" w:rsidRPr="007D4782" w14:paraId="42CD194B" w14:textId="77777777" w:rsidTr="00BE0350">
        <w:trPr>
          <w:trHeight w:val="449"/>
          <w:jc w:val="center"/>
        </w:trPr>
        <w:tc>
          <w:tcPr>
            <w:tcW w:w="5000" w:type="pct"/>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7C81B53" w14:textId="77777777" w:rsidR="00255E99" w:rsidRPr="007D4782" w:rsidRDefault="00255E99" w:rsidP="00255E99">
            <w:pPr>
              <w:tabs>
                <w:tab w:val="left" w:pos="8931"/>
              </w:tabs>
              <w:spacing w:after="0" w:line="240" w:lineRule="auto"/>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color w:val="000000"/>
                <w:sz w:val="24"/>
                <w:szCs w:val="24"/>
                <w:lang w:eastAsia="pt-BR"/>
              </w:rPr>
              <w:t>Local: SBN, Quadra 1, Bloco C, Edifício Roberto Simonsen, 2º andar, CEP 70040-903 - Brasília (DF) – Fone: (61) 3317-</w:t>
            </w:r>
            <w:r>
              <w:rPr>
                <w:rFonts w:ascii="Arial Narrow" w:eastAsia="Times New Roman" w:hAnsi="Arial Narrow" w:cs="Arial"/>
                <w:b/>
                <w:bCs/>
                <w:color w:val="000000"/>
                <w:sz w:val="24"/>
                <w:szCs w:val="24"/>
                <w:lang w:eastAsia="pt-BR"/>
              </w:rPr>
              <w:t>8968</w:t>
            </w:r>
            <w:r w:rsidRPr="007D4782">
              <w:rPr>
                <w:rFonts w:ascii="Arial Narrow" w:eastAsia="Times New Roman" w:hAnsi="Arial Narrow" w:cs="Arial"/>
                <w:b/>
                <w:bCs/>
                <w:color w:val="000000"/>
                <w:sz w:val="24"/>
                <w:szCs w:val="24"/>
                <w:lang w:eastAsia="pt-BR"/>
              </w:rPr>
              <w:t>.</w:t>
            </w:r>
          </w:p>
        </w:tc>
      </w:tr>
    </w:tbl>
    <w:p w14:paraId="5150196D" w14:textId="77777777" w:rsidR="00255E99" w:rsidRPr="007D4782" w:rsidRDefault="00255E99" w:rsidP="00255E99">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14:paraId="08EC59DF" w14:textId="77777777" w:rsidR="00255E99" w:rsidRDefault="00255E99" w:rsidP="00255E99">
      <w:pPr>
        <w:pStyle w:val="xmsonormal"/>
        <w:shd w:val="clear" w:color="auto" w:fill="FFFFFF"/>
        <w:spacing w:before="0" w:beforeAutospacing="0" w:after="0" w:afterAutospacing="0"/>
        <w:jc w:val="both"/>
        <w:rPr>
          <w:rFonts w:ascii="Arial Narrow" w:hAnsi="Arial Narrow" w:cs="Calibri"/>
          <w:b/>
          <w:bCs/>
          <w:color w:val="000000"/>
          <w:u w:val="single"/>
          <w:bdr w:val="none" w:sz="0" w:space="0" w:color="auto" w:frame="1"/>
        </w:rPr>
      </w:pPr>
      <w:r w:rsidRPr="00255E99">
        <w:rPr>
          <w:rFonts w:ascii="Arial Narrow" w:hAnsi="Arial Narrow" w:cs="Calibri"/>
          <w:b/>
          <w:bCs/>
          <w:color w:val="000000"/>
          <w:u w:val="single"/>
          <w:bdr w:val="none" w:sz="0" w:space="0" w:color="auto" w:frame="1"/>
        </w:rPr>
        <w:t>I. DESCRIÇÃO DETALHADA – MODALIDADE EXIGIDA </w:t>
      </w:r>
    </w:p>
    <w:p w14:paraId="6E40695F" w14:textId="77777777" w:rsidR="00255E99" w:rsidRPr="00255E99" w:rsidRDefault="00255E99" w:rsidP="00255E99">
      <w:pPr>
        <w:pStyle w:val="xmsonormal"/>
        <w:shd w:val="clear" w:color="auto" w:fill="FFFFFF"/>
        <w:spacing w:before="0" w:beforeAutospacing="0" w:after="0" w:afterAutospacing="0"/>
        <w:jc w:val="both"/>
        <w:rPr>
          <w:rFonts w:ascii="Arial Narrow" w:hAnsi="Arial Narrow" w:cs="Calibri"/>
          <w:color w:val="000000"/>
        </w:rPr>
      </w:pPr>
    </w:p>
    <w:p w14:paraId="3817458B" w14:textId="74AA52FB" w:rsidR="00255E99" w:rsidRDefault="00255E99" w:rsidP="00535587">
      <w:pPr>
        <w:shd w:val="clear" w:color="auto" w:fill="FFFFFF"/>
        <w:spacing w:after="0" w:line="240" w:lineRule="auto"/>
        <w:ind w:firstLine="567"/>
        <w:jc w:val="both"/>
        <w:rPr>
          <w:rFonts w:ascii="Arial Narrow" w:hAnsi="Arial Narrow" w:cs="Calibri"/>
          <w:color w:val="000000"/>
          <w:bdr w:val="none" w:sz="0" w:space="0" w:color="auto" w:frame="1"/>
        </w:rPr>
      </w:pPr>
      <w:r w:rsidRPr="00255E99">
        <w:rPr>
          <w:rFonts w:ascii="Arial Narrow" w:hAnsi="Arial Narrow" w:cs="Calibri"/>
          <w:color w:val="000000"/>
          <w:bdr w:val="none" w:sz="0" w:space="0" w:color="auto" w:frame="1"/>
        </w:rPr>
        <w:t>Não existe nenhuma restrição para atender a modalidade solicitada no Edital em epígrafe com o produto no modelo </w:t>
      </w:r>
      <w:r w:rsidRPr="00255E99">
        <w:rPr>
          <w:rFonts w:ascii="Arial Narrow" w:hAnsi="Arial Narrow" w:cs="Calibri"/>
          <w:b/>
          <w:bCs/>
          <w:color w:val="000000"/>
          <w:bdr w:val="none" w:sz="0" w:space="0" w:color="auto" w:frame="1"/>
        </w:rPr>
        <w:t>OVS ES</w:t>
      </w:r>
      <w:r w:rsidRPr="00255E99">
        <w:rPr>
          <w:rFonts w:ascii="Arial Narrow" w:hAnsi="Arial Narrow" w:cs="Calibri"/>
          <w:color w:val="000000"/>
          <w:bdr w:val="none" w:sz="0" w:space="0" w:color="auto" w:frame="1"/>
        </w:rPr>
        <w:t xml:space="preserve">, exceto pela descrição dos </w:t>
      </w:r>
      <w:proofErr w:type="spellStart"/>
      <w:r w:rsidRPr="00255E99">
        <w:rPr>
          <w:rFonts w:ascii="Arial Narrow" w:hAnsi="Arial Narrow" w:cs="Calibri"/>
          <w:color w:val="000000"/>
          <w:bdr w:val="none" w:sz="0" w:space="0" w:color="auto" w:frame="1"/>
        </w:rPr>
        <w:t>PartNumbers</w:t>
      </w:r>
      <w:proofErr w:type="spellEnd"/>
      <w:r w:rsidRPr="00255E99">
        <w:rPr>
          <w:rFonts w:ascii="Arial Narrow" w:hAnsi="Arial Narrow" w:cs="Calibri"/>
          <w:color w:val="000000"/>
          <w:bdr w:val="none" w:sz="0" w:space="0" w:color="auto" w:frame="1"/>
        </w:rPr>
        <w:t xml:space="preserve"> do produto, o qual se refere ao contrato tipo </w:t>
      </w:r>
      <w:r w:rsidRPr="00255E99">
        <w:rPr>
          <w:rFonts w:ascii="Arial Narrow" w:hAnsi="Arial Narrow" w:cs="Calibri"/>
          <w:b/>
          <w:bCs/>
          <w:color w:val="000000"/>
          <w:bdr w:val="none" w:sz="0" w:space="0" w:color="auto" w:frame="1"/>
        </w:rPr>
        <w:t>EES</w:t>
      </w:r>
      <w:r w:rsidRPr="00255E99">
        <w:rPr>
          <w:rFonts w:ascii="Arial Narrow" w:hAnsi="Arial Narrow" w:cs="Calibri"/>
          <w:color w:val="000000"/>
          <w:bdr w:val="none" w:sz="0" w:space="0" w:color="auto" w:frame="1"/>
        </w:rPr>
        <w:t>, que é comercializado por um grupo seleto de 14 empresas (</w:t>
      </w:r>
      <w:proofErr w:type="spellStart"/>
      <w:r w:rsidRPr="00255E99">
        <w:rPr>
          <w:rFonts w:ascii="Arial Narrow" w:hAnsi="Arial Narrow" w:cs="Calibri"/>
          <w:color w:val="000000"/>
          <w:bdr w:val="none" w:sz="0" w:space="0" w:color="auto" w:frame="1"/>
        </w:rPr>
        <w:t>Lanlink</w:t>
      </w:r>
      <w:proofErr w:type="spellEnd"/>
      <w:r w:rsidRPr="00255E99">
        <w:rPr>
          <w:rFonts w:ascii="Arial Narrow" w:hAnsi="Arial Narrow" w:cs="Calibri"/>
          <w:color w:val="000000"/>
          <w:bdr w:val="none" w:sz="0" w:space="0" w:color="auto" w:frame="1"/>
        </w:rPr>
        <w:t xml:space="preserve">, </w:t>
      </w:r>
      <w:proofErr w:type="spellStart"/>
      <w:r w:rsidRPr="00255E99">
        <w:rPr>
          <w:rFonts w:ascii="Arial Narrow" w:hAnsi="Arial Narrow" w:cs="Calibri"/>
          <w:color w:val="000000"/>
          <w:bdr w:val="none" w:sz="0" w:space="0" w:color="auto" w:frame="1"/>
        </w:rPr>
        <w:t>Brasoftware</w:t>
      </w:r>
      <w:proofErr w:type="spellEnd"/>
      <w:r w:rsidRPr="00255E99">
        <w:rPr>
          <w:rFonts w:ascii="Arial Narrow" w:hAnsi="Arial Narrow" w:cs="Calibri"/>
          <w:color w:val="000000"/>
          <w:bdr w:val="none" w:sz="0" w:space="0" w:color="auto" w:frame="1"/>
        </w:rPr>
        <w:t xml:space="preserve">, </w:t>
      </w:r>
      <w:proofErr w:type="spellStart"/>
      <w:r w:rsidRPr="00255E99">
        <w:rPr>
          <w:rFonts w:ascii="Arial Narrow" w:hAnsi="Arial Narrow" w:cs="Calibri"/>
          <w:color w:val="000000"/>
          <w:bdr w:val="none" w:sz="0" w:space="0" w:color="auto" w:frame="1"/>
        </w:rPr>
        <w:t>SoftwareOne</w:t>
      </w:r>
      <w:proofErr w:type="spellEnd"/>
      <w:r w:rsidRPr="00255E99">
        <w:rPr>
          <w:rFonts w:ascii="Arial Narrow" w:hAnsi="Arial Narrow" w:cs="Calibri"/>
          <w:color w:val="000000"/>
          <w:bdr w:val="none" w:sz="0" w:space="0" w:color="auto" w:frame="1"/>
        </w:rPr>
        <w:t xml:space="preserve">, Processor, Solo Network e Sonda, </w:t>
      </w:r>
      <w:proofErr w:type="spellStart"/>
      <w:r w:rsidRPr="00255E99">
        <w:rPr>
          <w:rFonts w:ascii="Arial Narrow" w:hAnsi="Arial Narrow" w:cs="Calibri"/>
          <w:color w:val="000000"/>
          <w:bdr w:val="none" w:sz="0" w:space="0" w:color="auto" w:frame="1"/>
        </w:rPr>
        <w:t>etc</w:t>
      </w:r>
      <w:proofErr w:type="spellEnd"/>
      <w:r w:rsidRPr="00255E99">
        <w:rPr>
          <w:rFonts w:ascii="Arial Narrow" w:hAnsi="Arial Narrow" w:cs="Calibri"/>
          <w:color w:val="000000"/>
          <w:bdr w:val="none" w:sz="0" w:space="0" w:color="auto" w:frame="1"/>
        </w:rPr>
        <w:t>). conforme link abaixo: </w:t>
      </w:r>
    </w:p>
    <w:p w14:paraId="2674B98A" w14:textId="77777777" w:rsidR="00932BF2" w:rsidRPr="00255E99" w:rsidRDefault="00932BF2" w:rsidP="00932BF2">
      <w:pPr>
        <w:pStyle w:val="xmsolistparagraph"/>
        <w:shd w:val="clear" w:color="auto" w:fill="FFFFFF"/>
        <w:spacing w:before="0" w:beforeAutospacing="0" w:after="0" w:afterAutospacing="0"/>
        <w:jc w:val="both"/>
        <w:rPr>
          <w:rFonts w:ascii="Arial Narrow" w:hAnsi="Arial Narrow"/>
          <w:color w:val="000000"/>
        </w:rPr>
      </w:pPr>
    </w:p>
    <w:p w14:paraId="66FEB9F9" w14:textId="666D56F0" w:rsidR="00255E99" w:rsidRDefault="00255E99" w:rsidP="00535587">
      <w:pPr>
        <w:shd w:val="clear" w:color="auto" w:fill="FFFFFF"/>
        <w:spacing w:after="0" w:line="240" w:lineRule="auto"/>
        <w:ind w:firstLine="567"/>
        <w:jc w:val="both"/>
        <w:rPr>
          <w:rFonts w:ascii="Arial Narrow" w:eastAsia="Times New Roman" w:hAnsi="Arial Narrow" w:cs="Calibri"/>
          <w:color w:val="000000"/>
          <w:sz w:val="24"/>
          <w:szCs w:val="24"/>
          <w:bdr w:val="none" w:sz="0" w:space="0" w:color="auto" w:frame="1"/>
          <w:lang w:eastAsia="pt-BR"/>
        </w:rPr>
      </w:pPr>
      <w:r w:rsidRPr="00255E99">
        <w:rPr>
          <w:rFonts w:ascii="Arial Narrow" w:eastAsia="Times New Roman" w:hAnsi="Arial Narrow" w:cs="Calibri"/>
          <w:color w:val="000000"/>
          <w:sz w:val="24"/>
          <w:szCs w:val="24"/>
          <w:bdr w:val="none" w:sz="0" w:space="0" w:color="auto" w:frame="1"/>
          <w:lang w:eastAsia="pt-BR"/>
        </w:rPr>
        <w:t>É importante frisar que a Microsoft indica as modalidades de contrato </w:t>
      </w:r>
      <w:r w:rsidRPr="00255E99">
        <w:rPr>
          <w:rFonts w:ascii="Arial Narrow" w:eastAsia="Times New Roman" w:hAnsi="Arial Narrow" w:cs="Calibri"/>
          <w:b/>
          <w:bCs/>
          <w:color w:val="000000"/>
          <w:sz w:val="24"/>
          <w:szCs w:val="24"/>
          <w:bdr w:val="none" w:sz="0" w:space="0" w:color="auto" w:frame="1"/>
          <w:lang w:eastAsia="pt-BR"/>
        </w:rPr>
        <w:t>EES</w:t>
      </w:r>
      <w:r w:rsidRPr="00255E99">
        <w:rPr>
          <w:rFonts w:ascii="Arial Narrow" w:eastAsia="Times New Roman" w:hAnsi="Arial Narrow" w:cs="Calibri"/>
          <w:color w:val="000000"/>
          <w:sz w:val="24"/>
          <w:szCs w:val="24"/>
          <w:bdr w:val="none" w:sz="0" w:space="0" w:color="auto" w:frame="1"/>
          <w:lang w:eastAsia="pt-BR"/>
        </w:rPr>
        <w:t> para empresas com mais de 250 estações de trabalho pelo simples fato de esse modelo oferecer para seus credenciados descontos maiores e </w:t>
      </w:r>
      <w:r w:rsidRPr="00255E99">
        <w:rPr>
          <w:rFonts w:ascii="Arial Narrow" w:eastAsia="Times New Roman" w:hAnsi="Arial Narrow" w:cs="Calibri"/>
          <w:color w:val="000000"/>
          <w:sz w:val="24"/>
          <w:szCs w:val="24"/>
          <w:u w:val="single"/>
          <w:bdr w:val="none" w:sz="0" w:space="0" w:color="auto" w:frame="1"/>
          <w:lang w:eastAsia="pt-BR"/>
        </w:rPr>
        <w:t>NÃO</w:t>
      </w:r>
      <w:r w:rsidRPr="00255E99">
        <w:rPr>
          <w:rFonts w:ascii="Arial Narrow" w:eastAsia="Times New Roman" w:hAnsi="Arial Narrow" w:cs="Calibri"/>
          <w:color w:val="000000"/>
          <w:sz w:val="24"/>
          <w:szCs w:val="24"/>
          <w:bdr w:val="none" w:sz="0" w:space="0" w:color="auto" w:frame="1"/>
          <w:lang w:eastAsia="pt-BR"/>
        </w:rPr>
        <w:t> porque o modelo</w:t>
      </w:r>
      <w:r w:rsidRPr="00255E99">
        <w:rPr>
          <w:rFonts w:ascii="Arial Narrow" w:eastAsia="Times New Roman" w:hAnsi="Arial Narrow" w:cs="Calibri"/>
          <w:b/>
          <w:bCs/>
          <w:color w:val="000000"/>
          <w:sz w:val="24"/>
          <w:szCs w:val="24"/>
          <w:bdr w:val="none" w:sz="0" w:space="0" w:color="auto" w:frame="1"/>
          <w:lang w:eastAsia="pt-BR"/>
        </w:rPr>
        <w:t> OVS ES</w:t>
      </w:r>
      <w:r w:rsidRPr="00255E99">
        <w:rPr>
          <w:rFonts w:ascii="Arial Narrow" w:eastAsia="Times New Roman" w:hAnsi="Arial Narrow" w:cs="Calibri"/>
          <w:color w:val="000000"/>
          <w:sz w:val="24"/>
          <w:szCs w:val="24"/>
          <w:bdr w:val="none" w:sz="0" w:space="0" w:color="auto" w:frame="1"/>
          <w:lang w:eastAsia="pt-BR"/>
        </w:rPr>
        <w:t> não atenda ao objeto licitado ou não possa ser comercializado. Ou seja, </w:t>
      </w:r>
      <w:r w:rsidRPr="00255E99">
        <w:rPr>
          <w:rFonts w:ascii="Arial Narrow" w:eastAsia="Times New Roman" w:hAnsi="Arial Narrow" w:cs="Calibri"/>
          <w:b/>
          <w:bCs/>
          <w:color w:val="000000"/>
          <w:sz w:val="24"/>
          <w:szCs w:val="24"/>
          <w:u w:val="single"/>
          <w:bdr w:val="none" w:sz="0" w:space="0" w:color="auto" w:frame="1"/>
          <w:lang w:eastAsia="pt-BR"/>
        </w:rPr>
        <w:t>qualquer um dos dois modelos, atendem perfeitamente a necessidade do órgão em todas as características solicitadas</w:t>
      </w:r>
      <w:r w:rsidRPr="00255E99">
        <w:rPr>
          <w:rFonts w:ascii="Arial Narrow" w:eastAsia="Times New Roman" w:hAnsi="Arial Narrow" w:cs="Calibri"/>
          <w:color w:val="000000"/>
          <w:sz w:val="24"/>
          <w:szCs w:val="24"/>
          <w:bdr w:val="none" w:sz="0" w:space="0" w:color="auto" w:frame="1"/>
          <w:lang w:eastAsia="pt-BR"/>
        </w:rPr>
        <w:t>.    </w:t>
      </w:r>
    </w:p>
    <w:p w14:paraId="4E0BE4F4" w14:textId="77777777" w:rsidR="00961910" w:rsidRPr="00932BF2" w:rsidRDefault="00961910" w:rsidP="00932BF2">
      <w:pPr>
        <w:pStyle w:val="xmsolistparagraph"/>
        <w:shd w:val="clear" w:color="auto" w:fill="FFFFFF"/>
        <w:spacing w:before="0" w:beforeAutospacing="0" w:after="0" w:afterAutospacing="0"/>
        <w:jc w:val="both"/>
        <w:rPr>
          <w:rFonts w:ascii="Arial Narrow" w:hAnsi="Arial Narrow"/>
          <w:b/>
          <w:bCs/>
          <w:color w:val="000000"/>
        </w:rPr>
      </w:pPr>
    </w:p>
    <w:p w14:paraId="4617EC5A" w14:textId="39A17A6A" w:rsidR="00255E99" w:rsidRDefault="00255E99" w:rsidP="00255E99">
      <w:pPr>
        <w:shd w:val="clear" w:color="auto" w:fill="FFFFFF"/>
        <w:spacing w:after="0" w:line="240" w:lineRule="auto"/>
        <w:ind w:firstLine="567"/>
        <w:jc w:val="both"/>
        <w:rPr>
          <w:rFonts w:ascii="Arial Narrow" w:eastAsia="Times New Roman" w:hAnsi="Arial Narrow" w:cs="Calibri"/>
          <w:b/>
          <w:bCs/>
          <w:color w:val="000000"/>
          <w:sz w:val="24"/>
          <w:szCs w:val="24"/>
          <w:u w:val="single"/>
          <w:bdr w:val="none" w:sz="0" w:space="0" w:color="auto" w:frame="1"/>
          <w:lang w:eastAsia="pt-BR"/>
        </w:rPr>
      </w:pPr>
      <w:r w:rsidRPr="00255E99">
        <w:rPr>
          <w:rFonts w:ascii="Arial Narrow" w:eastAsia="Times New Roman" w:hAnsi="Arial Narrow" w:cs="Times New Roman"/>
          <w:color w:val="000000"/>
          <w:sz w:val="24"/>
          <w:szCs w:val="24"/>
          <w:bdr w:val="none" w:sz="0" w:space="0" w:color="auto" w:frame="1"/>
          <w:lang w:eastAsia="pt-BR"/>
        </w:rPr>
        <w:t> </w:t>
      </w:r>
      <w:r w:rsidRPr="00255E99">
        <w:rPr>
          <w:rFonts w:ascii="Arial Narrow" w:eastAsia="Times New Roman" w:hAnsi="Arial Narrow" w:cs="Calibri"/>
          <w:b/>
          <w:bCs/>
          <w:color w:val="000000"/>
          <w:sz w:val="24"/>
          <w:szCs w:val="24"/>
          <w:u w:val="single"/>
          <w:bdr w:val="none" w:sz="0" w:space="0" w:color="auto" w:frame="1"/>
          <w:lang w:eastAsia="pt-BR"/>
        </w:rPr>
        <w:t xml:space="preserve">Por todo o exposto, conclui-se que os </w:t>
      </w:r>
      <w:proofErr w:type="spellStart"/>
      <w:r w:rsidRPr="00255E99">
        <w:rPr>
          <w:rFonts w:ascii="Arial Narrow" w:eastAsia="Times New Roman" w:hAnsi="Arial Narrow" w:cs="Calibri"/>
          <w:b/>
          <w:bCs/>
          <w:color w:val="000000"/>
          <w:sz w:val="24"/>
          <w:szCs w:val="24"/>
          <w:u w:val="single"/>
          <w:bdr w:val="none" w:sz="0" w:space="0" w:color="auto" w:frame="1"/>
          <w:lang w:eastAsia="pt-BR"/>
        </w:rPr>
        <w:t>PartNumbers</w:t>
      </w:r>
      <w:proofErr w:type="spellEnd"/>
      <w:r w:rsidRPr="00255E99">
        <w:rPr>
          <w:rFonts w:ascii="Arial Narrow" w:eastAsia="Times New Roman" w:hAnsi="Arial Narrow" w:cs="Calibri"/>
          <w:b/>
          <w:bCs/>
          <w:color w:val="000000"/>
          <w:sz w:val="24"/>
          <w:szCs w:val="24"/>
          <w:u w:val="single"/>
          <w:bdr w:val="none" w:sz="0" w:space="0" w:color="auto" w:frame="1"/>
          <w:lang w:eastAsia="pt-BR"/>
        </w:rPr>
        <w:t xml:space="preserve"> no modelo OVS ES POSSUE AS MESMAS CARACTERÍSTICAS TÉCNICAS, DE SUPORTE, DE RENOVAÇÃO e DEMAIS ESPECIFICAÇÕES do EES, sendo ambos os modelos de contrato indicados tão eficiente quanto o indicado no Edital.  </w:t>
      </w:r>
    </w:p>
    <w:p w14:paraId="243B4F45" w14:textId="77777777" w:rsidR="00255E99" w:rsidRPr="00255E99" w:rsidRDefault="00255E99" w:rsidP="00535587">
      <w:pPr>
        <w:shd w:val="clear" w:color="auto" w:fill="FFFFFF"/>
        <w:spacing w:after="0" w:line="240" w:lineRule="auto"/>
        <w:ind w:firstLine="567"/>
        <w:jc w:val="both"/>
        <w:rPr>
          <w:rFonts w:ascii="Arial Narrow" w:eastAsia="Times New Roman" w:hAnsi="Arial Narrow" w:cs="Calibri"/>
          <w:color w:val="000000"/>
          <w:sz w:val="24"/>
          <w:szCs w:val="24"/>
          <w:lang w:eastAsia="pt-BR"/>
        </w:rPr>
      </w:pPr>
      <w:r w:rsidRPr="00255E99">
        <w:rPr>
          <w:rFonts w:ascii="Arial Narrow" w:eastAsia="Times New Roman" w:hAnsi="Arial Narrow" w:cs="Calibri"/>
          <w:b/>
          <w:bCs/>
          <w:color w:val="000000"/>
          <w:sz w:val="24"/>
          <w:szCs w:val="24"/>
          <w:bdr w:val="none" w:sz="0" w:space="0" w:color="auto" w:frame="1"/>
          <w:lang w:eastAsia="pt-BR"/>
        </w:rPr>
        <w:t> </w:t>
      </w:r>
    </w:p>
    <w:p w14:paraId="125CC663" w14:textId="7F1F1261" w:rsidR="00255E99" w:rsidRDefault="00255E99" w:rsidP="00255E99">
      <w:pPr>
        <w:shd w:val="clear" w:color="auto" w:fill="FFFFFF"/>
        <w:spacing w:after="0" w:line="240" w:lineRule="auto"/>
        <w:ind w:firstLine="567"/>
        <w:jc w:val="both"/>
        <w:rPr>
          <w:rFonts w:ascii="Arial Narrow" w:eastAsia="Times New Roman" w:hAnsi="Arial Narrow" w:cs="Calibri"/>
          <w:color w:val="000000"/>
          <w:sz w:val="24"/>
          <w:szCs w:val="24"/>
          <w:bdr w:val="none" w:sz="0" w:space="0" w:color="auto" w:frame="1"/>
          <w:lang w:eastAsia="pt-BR"/>
        </w:rPr>
      </w:pPr>
      <w:r w:rsidRPr="00255E99">
        <w:rPr>
          <w:rFonts w:ascii="Arial Narrow" w:eastAsia="Times New Roman" w:hAnsi="Arial Narrow" w:cs="Times New Roman"/>
          <w:color w:val="000000"/>
          <w:sz w:val="24"/>
          <w:szCs w:val="24"/>
          <w:bdr w:val="none" w:sz="0" w:space="0" w:color="auto" w:frame="1"/>
          <w:lang w:eastAsia="pt-BR"/>
        </w:rPr>
        <w:t> </w:t>
      </w:r>
      <w:r w:rsidRPr="00255E99">
        <w:rPr>
          <w:rFonts w:ascii="Arial Narrow" w:eastAsia="Times New Roman" w:hAnsi="Arial Narrow" w:cs="Calibri"/>
          <w:color w:val="000000"/>
          <w:sz w:val="24"/>
          <w:szCs w:val="24"/>
          <w:bdr w:val="none" w:sz="0" w:space="0" w:color="auto" w:frame="1"/>
          <w:lang w:eastAsia="pt-BR"/>
        </w:rPr>
        <w:t xml:space="preserve">Ainda sobre o tema, destaca-se que o certame licitatório tem como princípio basilar a isonomia entre os licitantes, com o fim de proporcionar a máxima competitividade, buscando o maior número de participantes. Sendo assim, é vedada exigência </w:t>
      </w:r>
      <w:proofErr w:type="spellStart"/>
      <w:r w:rsidRPr="00255E99">
        <w:rPr>
          <w:rFonts w:ascii="Arial Narrow" w:eastAsia="Times New Roman" w:hAnsi="Arial Narrow" w:cs="Calibri"/>
          <w:color w:val="000000"/>
          <w:sz w:val="24"/>
          <w:szCs w:val="24"/>
          <w:bdr w:val="none" w:sz="0" w:space="0" w:color="auto" w:frame="1"/>
          <w:lang w:eastAsia="pt-BR"/>
        </w:rPr>
        <w:t>editalícia</w:t>
      </w:r>
      <w:proofErr w:type="spellEnd"/>
      <w:r w:rsidRPr="00255E99">
        <w:rPr>
          <w:rFonts w:ascii="Arial Narrow" w:eastAsia="Times New Roman" w:hAnsi="Arial Narrow" w:cs="Calibri"/>
          <w:color w:val="000000"/>
          <w:sz w:val="24"/>
          <w:szCs w:val="24"/>
          <w:bdr w:val="none" w:sz="0" w:space="0" w:color="auto" w:frame="1"/>
          <w:lang w:eastAsia="pt-BR"/>
        </w:rPr>
        <w:t xml:space="preserve"> que apenas impede a participação de empresas na licitação.  </w:t>
      </w:r>
    </w:p>
    <w:p w14:paraId="2EBECD1C" w14:textId="77777777" w:rsidR="00255E99" w:rsidRPr="00255E99" w:rsidRDefault="00255E99" w:rsidP="00932BF2">
      <w:pPr>
        <w:shd w:val="clear" w:color="auto" w:fill="FFFFFF"/>
        <w:spacing w:after="0" w:line="240" w:lineRule="auto"/>
        <w:jc w:val="both"/>
        <w:rPr>
          <w:rFonts w:ascii="Arial Narrow" w:eastAsia="Times New Roman" w:hAnsi="Arial Narrow" w:cs="Calibri"/>
          <w:color w:val="000000"/>
          <w:sz w:val="24"/>
          <w:szCs w:val="24"/>
          <w:lang w:eastAsia="pt-BR"/>
        </w:rPr>
      </w:pPr>
    </w:p>
    <w:p w14:paraId="68CF7F3D" w14:textId="63FD3799" w:rsidR="00255E99" w:rsidRPr="00535587" w:rsidRDefault="00255E99" w:rsidP="00535587">
      <w:pPr>
        <w:shd w:val="clear" w:color="auto" w:fill="FFFFFF"/>
        <w:spacing w:after="0" w:line="240" w:lineRule="auto"/>
        <w:ind w:firstLine="567"/>
        <w:jc w:val="both"/>
        <w:rPr>
          <w:rFonts w:ascii="Arial Narrow" w:eastAsia="Times New Roman" w:hAnsi="Arial Narrow" w:cs="Times New Roman"/>
          <w:color w:val="000000"/>
          <w:sz w:val="24"/>
          <w:szCs w:val="24"/>
          <w:lang w:eastAsia="pt-BR"/>
        </w:rPr>
      </w:pPr>
      <w:r w:rsidRPr="00535587">
        <w:rPr>
          <w:rFonts w:ascii="Arial Narrow" w:eastAsia="Times New Roman" w:hAnsi="Arial Narrow" w:cs="Times New Roman"/>
          <w:color w:val="000000"/>
          <w:sz w:val="24"/>
          <w:szCs w:val="24"/>
          <w:bdr w:val="none" w:sz="0" w:space="0" w:color="auto" w:frame="1"/>
          <w:lang w:eastAsia="pt-BR"/>
        </w:rPr>
        <w:t> </w:t>
      </w:r>
      <w:r w:rsidRPr="00535587">
        <w:rPr>
          <w:rFonts w:ascii="Arial Narrow" w:eastAsia="Times New Roman" w:hAnsi="Arial Narrow" w:cs="Calibri"/>
          <w:color w:val="000000"/>
          <w:sz w:val="24"/>
          <w:szCs w:val="24"/>
          <w:bdr w:val="none" w:sz="0" w:space="0" w:color="auto" w:frame="1"/>
          <w:lang w:eastAsia="pt-BR"/>
        </w:rPr>
        <w:t>Pelo demonstrado acima, infere-se que a exigência de modelo de contratação EES contida nesse Edital deve ser desconsiderada, a fim de adequar o processo licitatório ao Princípios da Ampla Concorrência e da Isonomia. </w:t>
      </w:r>
    </w:p>
    <w:p w14:paraId="7B513FB7" w14:textId="77777777" w:rsidR="00255E99" w:rsidRPr="00255E99" w:rsidRDefault="00255E99" w:rsidP="00255E99">
      <w:pPr>
        <w:shd w:val="clear" w:color="auto" w:fill="FFFFFF"/>
        <w:spacing w:after="0" w:line="240" w:lineRule="auto"/>
        <w:jc w:val="both"/>
        <w:rPr>
          <w:rFonts w:ascii="Arial Narrow" w:eastAsia="Times New Roman" w:hAnsi="Arial Narrow" w:cs="Calibri"/>
          <w:color w:val="000000"/>
          <w:sz w:val="24"/>
          <w:szCs w:val="24"/>
          <w:lang w:eastAsia="pt-BR"/>
        </w:rPr>
      </w:pPr>
    </w:p>
    <w:p w14:paraId="770659A5" w14:textId="77777777" w:rsidR="00255E99" w:rsidRPr="00255E99" w:rsidRDefault="00255E99" w:rsidP="00255E99">
      <w:pPr>
        <w:shd w:val="clear" w:color="auto" w:fill="FFFFFF"/>
        <w:spacing w:after="0" w:line="240" w:lineRule="auto"/>
        <w:jc w:val="both"/>
        <w:rPr>
          <w:rFonts w:ascii="Arial Narrow" w:eastAsia="Times New Roman" w:hAnsi="Arial Narrow" w:cs="Calibri"/>
          <w:color w:val="000000"/>
          <w:sz w:val="24"/>
          <w:szCs w:val="24"/>
          <w:lang w:eastAsia="pt-BR"/>
        </w:rPr>
      </w:pPr>
      <w:r w:rsidRPr="00255E99">
        <w:rPr>
          <w:rFonts w:ascii="Arial Narrow" w:eastAsia="Times New Roman" w:hAnsi="Arial Narrow" w:cs="Calibri"/>
          <w:b/>
          <w:bCs/>
          <w:color w:val="000000"/>
          <w:sz w:val="24"/>
          <w:szCs w:val="24"/>
          <w:u w:val="single"/>
          <w:bdr w:val="none" w:sz="0" w:space="0" w:color="auto" w:frame="1"/>
          <w:lang w:eastAsia="pt-BR"/>
        </w:rPr>
        <w:t>II. EXIGÊNCIAS INDEVIDAS </w:t>
      </w:r>
    </w:p>
    <w:p w14:paraId="49AA0D0C" w14:textId="77777777" w:rsidR="00255E99" w:rsidRPr="00255E99" w:rsidRDefault="00255E99" w:rsidP="00255E99">
      <w:pPr>
        <w:shd w:val="clear" w:color="auto" w:fill="FFFFFF"/>
        <w:spacing w:after="0" w:line="240" w:lineRule="auto"/>
        <w:jc w:val="both"/>
        <w:rPr>
          <w:rFonts w:ascii="Arial Narrow" w:eastAsia="Times New Roman" w:hAnsi="Arial Narrow" w:cs="Calibri"/>
          <w:color w:val="000000"/>
          <w:sz w:val="24"/>
          <w:szCs w:val="24"/>
          <w:lang w:eastAsia="pt-BR"/>
        </w:rPr>
      </w:pPr>
    </w:p>
    <w:p w14:paraId="1BC353D0" w14:textId="77777777" w:rsidR="00255E99" w:rsidRPr="00255E99" w:rsidRDefault="00255E99" w:rsidP="00255E99">
      <w:pPr>
        <w:shd w:val="clear" w:color="auto" w:fill="FFFFFF"/>
        <w:spacing w:after="0" w:line="240" w:lineRule="auto"/>
        <w:ind w:left="1134"/>
        <w:jc w:val="both"/>
        <w:rPr>
          <w:rFonts w:ascii="Arial Narrow" w:eastAsia="Times New Roman" w:hAnsi="Arial Narrow" w:cs="Calibri"/>
          <w:color w:val="000000"/>
          <w:sz w:val="24"/>
          <w:szCs w:val="24"/>
          <w:lang w:eastAsia="pt-BR"/>
        </w:rPr>
      </w:pPr>
      <w:r w:rsidRPr="00255E99">
        <w:rPr>
          <w:rFonts w:ascii="Arial Narrow" w:eastAsia="Times New Roman" w:hAnsi="Arial Narrow" w:cs="Calibri"/>
          <w:i/>
          <w:iCs/>
          <w:color w:val="000000"/>
          <w:sz w:val="24"/>
          <w:szCs w:val="24"/>
          <w:bdr w:val="none" w:sz="0" w:space="0" w:color="auto" w:frame="1"/>
          <w:lang w:eastAsia="pt-BR"/>
        </w:rPr>
        <w:t>Edital </w:t>
      </w:r>
    </w:p>
    <w:p w14:paraId="2F730CDC" w14:textId="77777777" w:rsidR="00255E99" w:rsidRPr="00255E99" w:rsidRDefault="00255E99" w:rsidP="00255E99">
      <w:pPr>
        <w:shd w:val="clear" w:color="auto" w:fill="FFFFFF"/>
        <w:spacing w:after="0" w:line="240" w:lineRule="auto"/>
        <w:ind w:left="1134"/>
        <w:jc w:val="both"/>
        <w:rPr>
          <w:rFonts w:ascii="Arial Narrow" w:eastAsia="Times New Roman" w:hAnsi="Arial Narrow" w:cs="Calibri"/>
          <w:color w:val="000000"/>
          <w:sz w:val="24"/>
          <w:szCs w:val="24"/>
          <w:lang w:eastAsia="pt-BR"/>
        </w:rPr>
      </w:pPr>
      <w:r w:rsidRPr="00255E99">
        <w:rPr>
          <w:rFonts w:ascii="Arial Narrow" w:eastAsia="Times New Roman" w:hAnsi="Arial Narrow" w:cs="Calibri"/>
          <w:i/>
          <w:iCs/>
          <w:color w:val="000000"/>
          <w:sz w:val="24"/>
          <w:szCs w:val="24"/>
          <w:bdr w:val="none" w:sz="0" w:space="0" w:color="auto" w:frame="1"/>
          <w:lang w:eastAsia="pt-BR"/>
        </w:rPr>
        <w:t>“Qualificação Técnica </w:t>
      </w:r>
    </w:p>
    <w:p w14:paraId="6BC11389" w14:textId="77777777" w:rsidR="00255E99" w:rsidRPr="00255E99" w:rsidRDefault="00255E99" w:rsidP="00255E99">
      <w:pPr>
        <w:shd w:val="clear" w:color="auto" w:fill="FFFFFF"/>
        <w:spacing w:after="0" w:line="240" w:lineRule="auto"/>
        <w:ind w:left="1134"/>
        <w:jc w:val="both"/>
        <w:rPr>
          <w:rFonts w:ascii="Arial Narrow" w:eastAsia="Times New Roman" w:hAnsi="Arial Narrow" w:cs="Calibri"/>
          <w:color w:val="000000"/>
          <w:sz w:val="24"/>
          <w:szCs w:val="24"/>
          <w:lang w:eastAsia="pt-BR"/>
        </w:rPr>
      </w:pPr>
      <w:r w:rsidRPr="00255E99">
        <w:rPr>
          <w:rFonts w:ascii="Arial Narrow" w:eastAsia="Times New Roman" w:hAnsi="Arial Narrow" w:cs="Calibri"/>
          <w:i/>
          <w:iCs/>
          <w:color w:val="000000"/>
          <w:sz w:val="24"/>
          <w:szCs w:val="24"/>
          <w:bdr w:val="none" w:sz="0" w:space="0" w:color="auto" w:frame="1"/>
          <w:lang w:eastAsia="pt-BR"/>
        </w:rPr>
        <w:t>3.7. Para fins de habilitação da qualificação técnica, a licitante deverá apresentar: </w:t>
      </w:r>
    </w:p>
    <w:p w14:paraId="691750C6" w14:textId="77777777" w:rsidR="00255E99" w:rsidRPr="00255E99" w:rsidRDefault="00255E99" w:rsidP="00255E99">
      <w:pPr>
        <w:shd w:val="clear" w:color="auto" w:fill="FFFFFF"/>
        <w:spacing w:after="0" w:line="240" w:lineRule="auto"/>
        <w:ind w:left="1134"/>
        <w:jc w:val="both"/>
        <w:rPr>
          <w:rFonts w:ascii="Arial Narrow" w:eastAsia="Times New Roman" w:hAnsi="Arial Narrow" w:cs="Calibri"/>
          <w:color w:val="000000"/>
          <w:sz w:val="24"/>
          <w:szCs w:val="24"/>
          <w:lang w:eastAsia="pt-BR"/>
        </w:rPr>
      </w:pPr>
      <w:r w:rsidRPr="00255E99">
        <w:rPr>
          <w:rFonts w:ascii="Arial Narrow" w:eastAsia="Times New Roman" w:hAnsi="Arial Narrow" w:cs="Calibri"/>
          <w:i/>
          <w:iCs/>
          <w:color w:val="000000"/>
          <w:sz w:val="24"/>
          <w:szCs w:val="24"/>
          <w:bdr w:val="none" w:sz="0" w:space="0" w:color="auto" w:frame="1"/>
          <w:lang w:eastAsia="pt-BR"/>
        </w:rPr>
        <w:t xml:space="preserve">3.7.1. Por se tratar de um contrato Microsoft </w:t>
      </w:r>
      <w:proofErr w:type="spellStart"/>
      <w:r w:rsidRPr="00255E99">
        <w:rPr>
          <w:rFonts w:ascii="Arial Narrow" w:eastAsia="Times New Roman" w:hAnsi="Arial Narrow" w:cs="Calibri"/>
          <w:i/>
          <w:iCs/>
          <w:color w:val="000000"/>
          <w:sz w:val="24"/>
          <w:szCs w:val="24"/>
          <w:bdr w:val="none" w:sz="0" w:space="0" w:color="auto" w:frame="1"/>
          <w:lang w:eastAsia="pt-BR"/>
        </w:rPr>
        <w:t>Enrollment</w:t>
      </w:r>
      <w:proofErr w:type="spellEnd"/>
      <w:r w:rsidRPr="00255E99">
        <w:rPr>
          <w:rFonts w:ascii="Arial Narrow" w:eastAsia="Times New Roman" w:hAnsi="Arial Narrow" w:cs="Calibri"/>
          <w:i/>
          <w:iCs/>
          <w:color w:val="000000"/>
          <w:sz w:val="24"/>
          <w:szCs w:val="24"/>
          <w:bdr w:val="none" w:sz="0" w:space="0" w:color="auto" w:frame="1"/>
          <w:lang w:eastAsia="pt-BR"/>
        </w:rPr>
        <w:t xml:space="preserve"> for </w:t>
      </w:r>
      <w:proofErr w:type="spellStart"/>
      <w:r w:rsidRPr="00255E99">
        <w:rPr>
          <w:rFonts w:ascii="Arial Narrow" w:eastAsia="Times New Roman" w:hAnsi="Arial Narrow" w:cs="Calibri"/>
          <w:i/>
          <w:iCs/>
          <w:color w:val="000000"/>
          <w:sz w:val="24"/>
          <w:szCs w:val="24"/>
          <w:bdr w:val="none" w:sz="0" w:space="0" w:color="auto" w:frame="1"/>
          <w:lang w:eastAsia="pt-BR"/>
        </w:rPr>
        <w:t>Education</w:t>
      </w:r>
      <w:proofErr w:type="spellEnd"/>
      <w:r w:rsidRPr="00255E99">
        <w:rPr>
          <w:rFonts w:ascii="Arial Narrow" w:eastAsia="Times New Roman" w:hAnsi="Arial Narrow" w:cs="Calibri"/>
          <w:i/>
          <w:iCs/>
          <w:color w:val="000000"/>
          <w:sz w:val="24"/>
          <w:szCs w:val="24"/>
          <w:bdr w:val="none" w:sz="0" w:space="0" w:color="auto" w:frame="1"/>
          <w:lang w:eastAsia="pt-BR"/>
        </w:rPr>
        <w:t xml:space="preserve"> </w:t>
      </w:r>
      <w:proofErr w:type="spellStart"/>
      <w:r w:rsidRPr="00255E99">
        <w:rPr>
          <w:rFonts w:ascii="Arial Narrow" w:eastAsia="Times New Roman" w:hAnsi="Arial Narrow" w:cs="Calibri"/>
          <w:i/>
          <w:iCs/>
          <w:color w:val="000000"/>
          <w:sz w:val="24"/>
          <w:szCs w:val="24"/>
          <w:bdr w:val="none" w:sz="0" w:space="0" w:color="auto" w:frame="1"/>
          <w:lang w:eastAsia="pt-BR"/>
        </w:rPr>
        <w:t>Solutions</w:t>
      </w:r>
      <w:proofErr w:type="spellEnd"/>
      <w:r w:rsidRPr="00255E99">
        <w:rPr>
          <w:rFonts w:ascii="Arial Narrow" w:eastAsia="Times New Roman" w:hAnsi="Arial Narrow" w:cs="Calibri"/>
          <w:i/>
          <w:iCs/>
          <w:color w:val="000000"/>
          <w:sz w:val="24"/>
          <w:szCs w:val="24"/>
          <w:bdr w:val="none" w:sz="0" w:space="0" w:color="auto" w:frame="1"/>
          <w:lang w:eastAsia="pt-BR"/>
        </w:rPr>
        <w:t xml:space="preserve"> (EES), que engloba licenciamento por volume, as licitantes deverão ser qualificadas como LSP – </w:t>
      </w:r>
      <w:proofErr w:type="spellStart"/>
      <w:r w:rsidRPr="00255E99">
        <w:rPr>
          <w:rFonts w:ascii="Arial Narrow" w:eastAsia="Times New Roman" w:hAnsi="Arial Narrow" w:cs="Calibri"/>
          <w:i/>
          <w:iCs/>
          <w:color w:val="000000"/>
          <w:sz w:val="24"/>
          <w:szCs w:val="24"/>
          <w:bdr w:val="none" w:sz="0" w:space="0" w:color="auto" w:frame="1"/>
          <w:lang w:eastAsia="pt-BR"/>
        </w:rPr>
        <w:t>Large</w:t>
      </w:r>
      <w:proofErr w:type="spellEnd"/>
      <w:r w:rsidRPr="00255E99">
        <w:rPr>
          <w:rFonts w:ascii="Arial Narrow" w:eastAsia="Times New Roman" w:hAnsi="Arial Narrow" w:cs="Calibri"/>
          <w:i/>
          <w:iCs/>
          <w:color w:val="000000"/>
          <w:sz w:val="24"/>
          <w:szCs w:val="24"/>
          <w:bdr w:val="none" w:sz="0" w:space="0" w:color="auto" w:frame="1"/>
          <w:lang w:eastAsia="pt-BR"/>
        </w:rPr>
        <w:t xml:space="preserve"> </w:t>
      </w:r>
      <w:proofErr w:type="spellStart"/>
      <w:r w:rsidRPr="00255E99">
        <w:rPr>
          <w:rFonts w:ascii="Arial Narrow" w:eastAsia="Times New Roman" w:hAnsi="Arial Narrow" w:cs="Calibri"/>
          <w:i/>
          <w:iCs/>
          <w:color w:val="000000"/>
          <w:sz w:val="24"/>
          <w:szCs w:val="24"/>
          <w:bdr w:val="none" w:sz="0" w:space="0" w:color="auto" w:frame="1"/>
          <w:lang w:eastAsia="pt-BR"/>
        </w:rPr>
        <w:t>Solution</w:t>
      </w:r>
      <w:proofErr w:type="spellEnd"/>
      <w:r w:rsidRPr="00255E99">
        <w:rPr>
          <w:rFonts w:ascii="Arial Narrow" w:eastAsia="Times New Roman" w:hAnsi="Arial Narrow" w:cs="Calibri"/>
          <w:i/>
          <w:iCs/>
          <w:color w:val="000000"/>
          <w:sz w:val="24"/>
          <w:szCs w:val="24"/>
          <w:bdr w:val="none" w:sz="0" w:space="0" w:color="auto" w:frame="1"/>
          <w:lang w:eastAsia="pt-BR"/>
        </w:rPr>
        <w:t xml:space="preserve"> </w:t>
      </w:r>
      <w:proofErr w:type="spellStart"/>
      <w:r w:rsidRPr="00255E99">
        <w:rPr>
          <w:rFonts w:ascii="Arial Narrow" w:eastAsia="Times New Roman" w:hAnsi="Arial Narrow" w:cs="Calibri"/>
          <w:i/>
          <w:iCs/>
          <w:color w:val="000000"/>
          <w:sz w:val="24"/>
          <w:szCs w:val="24"/>
          <w:bdr w:val="none" w:sz="0" w:space="0" w:color="auto" w:frame="1"/>
          <w:lang w:eastAsia="pt-BR"/>
        </w:rPr>
        <w:t>Partner</w:t>
      </w:r>
      <w:proofErr w:type="spellEnd"/>
      <w:r w:rsidRPr="00255E99">
        <w:rPr>
          <w:rFonts w:ascii="Arial Narrow" w:eastAsia="Times New Roman" w:hAnsi="Arial Narrow" w:cs="Calibri"/>
          <w:i/>
          <w:iCs/>
          <w:color w:val="000000"/>
          <w:sz w:val="24"/>
          <w:szCs w:val="24"/>
          <w:bdr w:val="none" w:sz="0" w:space="0" w:color="auto" w:frame="1"/>
          <w:lang w:eastAsia="pt-BR"/>
        </w:rPr>
        <w:t>), a ser comprovado mediante a apresentação de declaração fornecida pela Microsoft.” </w:t>
      </w:r>
    </w:p>
    <w:p w14:paraId="79082F15" w14:textId="77777777" w:rsidR="0008050B" w:rsidRDefault="0008050B" w:rsidP="0008050B">
      <w:pPr>
        <w:shd w:val="clear" w:color="auto" w:fill="FFFFFF"/>
        <w:spacing w:after="0" w:line="240" w:lineRule="auto"/>
        <w:jc w:val="both"/>
        <w:rPr>
          <w:rFonts w:ascii="Arial Narrow" w:hAnsi="Arial Narrow" w:cs="Arial"/>
          <w:color w:val="222222"/>
        </w:rPr>
      </w:pPr>
    </w:p>
    <w:p w14:paraId="246DACC0" w14:textId="658FD42C" w:rsidR="00255E99" w:rsidRPr="00043282" w:rsidRDefault="00255E99" w:rsidP="00043282">
      <w:pPr>
        <w:shd w:val="clear" w:color="auto" w:fill="FFFFFF"/>
        <w:spacing w:after="0" w:line="240" w:lineRule="auto"/>
        <w:ind w:firstLine="567"/>
        <w:jc w:val="both"/>
        <w:rPr>
          <w:rFonts w:ascii="Arial Narrow" w:eastAsia="Times New Roman" w:hAnsi="Arial Narrow" w:cs="Calibri"/>
          <w:color w:val="000000"/>
          <w:sz w:val="24"/>
          <w:szCs w:val="24"/>
          <w:bdr w:val="none" w:sz="0" w:space="0" w:color="auto" w:frame="1"/>
          <w:lang w:eastAsia="pt-BR"/>
        </w:rPr>
      </w:pPr>
      <w:r w:rsidRPr="00043282">
        <w:rPr>
          <w:rFonts w:ascii="Arial Narrow" w:eastAsia="Times New Roman" w:hAnsi="Arial Narrow" w:cs="Times New Roman"/>
          <w:color w:val="000000"/>
          <w:sz w:val="24"/>
          <w:szCs w:val="24"/>
          <w:bdr w:val="none" w:sz="0" w:space="0" w:color="auto" w:frame="1"/>
          <w:lang w:eastAsia="pt-BR"/>
        </w:rPr>
        <w:t> </w:t>
      </w:r>
      <w:r w:rsidRPr="00043282">
        <w:rPr>
          <w:rFonts w:ascii="Arial Narrow" w:eastAsia="Times New Roman" w:hAnsi="Arial Narrow" w:cs="Calibri"/>
          <w:color w:val="000000"/>
          <w:sz w:val="24"/>
          <w:szCs w:val="24"/>
          <w:bdr w:val="none" w:sz="0" w:space="0" w:color="auto" w:frame="1"/>
          <w:lang w:eastAsia="pt-BR"/>
        </w:rPr>
        <w:t>O edital em análise nos itens transcritos acima exige que o Licitante apresente declarações fornecidas pelo Fabricante, comprovando ser revenda autorizada com classificação específica, para operacionalizar o produto licitado.  </w:t>
      </w:r>
    </w:p>
    <w:p w14:paraId="0ACF3A3B" w14:textId="77777777" w:rsidR="00255E99" w:rsidRPr="00255E99" w:rsidRDefault="00255E99" w:rsidP="00043282">
      <w:pPr>
        <w:shd w:val="clear" w:color="auto" w:fill="FFFFFF"/>
        <w:spacing w:after="0" w:line="240" w:lineRule="auto"/>
        <w:jc w:val="both"/>
        <w:rPr>
          <w:rFonts w:ascii="Arial Narrow" w:eastAsia="Times New Roman" w:hAnsi="Arial Narrow" w:cs="Times New Roman"/>
          <w:color w:val="000000"/>
          <w:sz w:val="24"/>
          <w:szCs w:val="24"/>
          <w:lang w:eastAsia="pt-BR"/>
        </w:rPr>
      </w:pPr>
    </w:p>
    <w:p w14:paraId="4AF9B051" w14:textId="7341F3D9" w:rsidR="00255E99" w:rsidRPr="00043282" w:rsidRDefault="00255E99" w:rsidP="00043282">
      <w:pPr>
        <w:shd w:val="clear" w:color="auto" w:fill="FFFFFF"/>
        <w:spacing w:after="0" w:line="240" w:lineRule="auto"/>
        <w:ind w:firstLine="567"/>
        <w:jc w:val="both"/>
        <w:rPr>
          <w:rFonts w:ascii="Arial Narrow" w:eastAsia="Times New Roman" w:hAnsi="Arial Narrow" w:cs="Calibri"/>
          <w:color w:val="000000"/>
          <w:sz w:val="24"/>
          <w:szCs w:val="24"/>
          <w:bdr w:val="none" w:sz="0" w:space="0" w:color="auto" w:frame="1"/>
          <w:lang w:eastAsia="pt-BR"/>
        </w:rPr>
      </w:pPr>
      <w:r w:rsidRPr="00043282">
        <w:rPr>
          <w:rFonts w:ascii="Arial Narrow" w:eastAsia="Times New Roman" w:hAnsi="Arial Narrow" w:cs="Times New Roman"/>
          <w:color w:val="000000"/>
          <w:sz w:val="24"/>
          <w:szCs w:val="24"/>
          <w:bdr w:val="none" w:sz="0" w:space="0" w:color="auto" w:frame="1"/>
          <w:lang w:eastAsia="pt-BR"/>
        </w:rPr>
        <w:lastRenderedPageBreak/>
        <w:t> </w:t>
      </w:r>
      <w:r w:rsidRPr="00043282">
        <w:rPr>
          <w:rFonts w:ascii="Arial Narrow" w:eastAsia="Times New Roman" w:hAnsi="Arial Narrow" w:cs="Calibri"/>
          <w:color w:val="000000"/>
          <w:sz w:val="24"/>
          <w:szCs w:val="24"/>
          <w:bdr w:val="none" w:sz="0" w:space="0" w:color="auto" w:frame="1"/>
          <w:lang w:eastAsia="pt-BR"/>
        </w:rPr>
        <w:t xml:space="preserve">Entretanto, essas exigências </w:t>
      </w:r>
      <w:r w:rsidRPr="00681ECE">
        <w:rPr>
          <w:rFonts w:ascii="Arial Narrow" w:eastAsia="Times New Roman" w:hAnsi="Arial Narrow" w:cs="Calibri"/>
          <w:color w:val="000000"/>
          <w:sz w:val="24"/>
          <w:szCs w:val="24"/>
          <w:bdr w:val="none" w:sz="0" w:space="0" w:color="auto" w:frame="1"/>
          <w:lang w:eastAsia="pt-BR"/>
        </w:rPr>
        <w:t>não encontram previsão na legislação que norteia os procedimentos licitatórios, a qual, inclusive, coíbe a prática de atos que sejam tendenciosos ou frustrem o caráter competitivo dos certames.</w:t>
      </w:r>
      <w:r w:rsidRPr="00043282">
        <w:rPr>
          <w:rFonts w:ascii="Arial Narrow" w:eastAsia="Times New Roman" w:hAnsi="Arial Narrow" w:cs="Calibri"/>
          <w:color w:val="000000"/>
          <w:sz w:val="24"/>
          <w:szCs w:val="24"/>
          <w:bdr w:val="none" w:sz="0" w:space="0" w:color="auto" w:frame="1"/>
          <w:lang w:eastAsia="pt-BR"/>
        </w:rPr>
        <w:t xml:space="preserve">  </w:t>
      </w:r>
    </w:p>
    <w:p w14:paraId="67EDE6D2" w14:textId="4610992C" w:rsidR="00932BF2" w:rsidRPr="00681ECE" w:rsidRDefault="00932BF2" w:rsidP="00043282">
      <w:pPr>
        <w:pStyle w:val="xmsolistparagraph"/>
        <w:shd w:val="clear" w:color="auto" w:fill="FFFFFF"/>
        <w:spacing w:before="0" w:beforeAutospacing="0" w:after="0" w:afterAutospacing="0"/>
        <w:ind w:left="567"/>
        <w:jc w:val="both"/>
        <w:rPr>
          <w:rFonts w:ascii="Arial Narrow" w:hAnsi="Arial Narrow" w:cs="Calibri"/>
          <w:color w:val="000000"/>
          <w:bdr w:val="none" w:sz="0" w:space="0" w:color="auto" w:frame="1"/>
        </w:rPr>
      </w:pPr>
    </w:p>
    <w:p w14:paraId="65E378AA" w14:textId="416A6B83" w:rsidR="00255E99" w:rsidRPr="00043282" w:rsidRDefault="00255E99" w:rsidP="00043282">
      <w:pPr>
        <w:shd w:val="clear" w:color="auto" w:fill="FFFFFF"/>
        <w:spacing w:after="0" w:line="240" w:lineRule="auto"/>
        <w:ind w:firstLine="567"/>
        <w:jc w:val="both"/>
        <w:rPr>
          <w:rFonts w:ascii="Arial Narrow" w:eastAsia="Times New Roman" w:hAnsi="Arial Narrow" w:cs="Calibri"/>
          <w:color w:val="000000"/>
          <w:sz w:val="24"/>
          <w:szCs w:val="24"/>
          <w:bdr w:val="none" w:sz="0" w:space="0" w:color="auto" w:frame="1"/>
          <w:lang w:eastAsia="pt-BR"/>
        </w:rPr>
      </w:pPr>
      <w:r w:rsidRPr="00681ECE">
        <w:rPr>
          <w:rFonts w:ascii="Arial Narrow" w:eastAsia="Times New Roman" w:hAnsi="Arial Narrow" w:cs="Calibri"/>
          <w:color w:val="000000"/>
          <w:sz w:val="24"/>
          <w:szCs w:val="24"/>
          <w:bdr w:val="none" w:sz="0" w:space="0" w:color="auto" w:frame="1"/>
          <w:lang w:eastAsia="pt-BR"/>
        </w:rPr>
        <w:t> </w:t>
      </w:r>
      <w:r w:rsidRPr="00043282">
        <w:rPr>
          <w:rFonts w:ascii="Arial Narrow" w:eastAsia="Times New Roman" w:hAnsi="Arial Narrow" w:cs="Calibri"/>
          <w:color w:val="000000"/>
          <w:sz w:val="24"/>
          <w:szCs w:val="24"/>
          <w:bdr w:val="none" w:sz="0" w:space="0" w:color="auto" w:frame="1"/>
          <w:lang w:eastAsia="pt-BR"/>
        </w:rPr>
        <w:t>Ora, a consequência direta das exigências em comento é a limitação de participantes.  </w:t>
      </w:r>
    </w:p>
    <w:p w14:paraId="62990C7D" w14:textId="4F935665" w:rsidR="00932BF2" w:rsidRPr="00681ECE" w:rsidRDefault="00932BF2" w:rsidP="00043282">
      <w:pPr>
        <w:pStyle w:val="xmsolistparagraph"/>
        <w:shd w:val="clear" w:color="auto" w:fill="FFFFFF"/>
        <w:spacing w:before="0" w:beforeAutospacing="0" w:after="0" w:afterAutospacing="0"/>
        <w:ind w:left="567"/>
        <w:jc w:val="both"/>
        <w:rPr>
          <w:rFonts w:ascii="Arial Narrow" w:hAnsi="Arial Narrow" w:cs="Calibri"/>
          <w:color w:val="000000"/>
          <w:bdr w:val="none" w:sz="0" w:space="0" w:color="auto" w:frame="1"/>
        </w:rPr>
      </w:pPr>
    </w:p>
    <w:p w14:paraId="04BC1302" w14:textId="3B4020CE" w:rsidR="00255E99" w:rsidRPr="00043282" w:rsidRDefault="00255E99" w:rsidP="00043282">
      <w:pPr>
        <w:shd w:val="clear" w:color="auto" w:fill="FFFFFF"/>
        <w:spacing w:after="0" w:line="240" w:lineRule="auto"/>
        <w:ind w:firstLine="567"/>
        <w:jc w:val="both"/>
        <w:rPr>
          <w:rFonts w:ascii="Arial Narrow" w:eastAsia="Times New Roman" w:hAnsi="Arial Narrow" w:cs="Calibri"/>
          <w:color w:val="000000"/>
          <w:sz w:val="24"/>
          <w:szCs w:val="24"/>
          <w:bdr w:val="none" w:sz="0" w:space="0" w:color="auto" w:frame="1"/>
          <w:lang w:eastAsia="pt-BR"/>
        </w:rPr>
      </w:pPr>
      <w:r w:rsidRPr="00681ECE">
        <w:rPr>
          <w:rFonts w:ascii="Arial Narrow" w:eastAsia="Times New Roman" w:hAnsi="Arial Narrow" w:cs="Calibri"/>
          <w:color w:val="000000"/>
          <w:sz w:val="24"/>
          <w:szCs w:val="24"/>
          <w:bdr w:val="none" w:sz="0" w:space="0" w:color="auto" w:frame="1"/>
          <w:lang w:eastAsia="pt-BR"/>
        </w:rPr>
        <w:t> </w:t>
      </w:r>
      <w:r w:rsidRPr="00043282">
        <w:rPr>
          <w:rFonts w:ascii="Arial Narrow" w:eastAsia="Times New Roman" w:hAnsi="Arial Narrow" w:cs="Calibri"/>
          <w:color w:val="000000"/>
          <w:sz w:val="24"/>
          <w:szCs w:val="24"/>
          <w:bdr w:val="none" w:sz="0" w:space="0" w:color="auto" w:frame="1"/>
          <w:lang w:eastAsia="pt-BR"/>
        </w:rPr>
        <w:t>Assim não é possível exigir do licitante outros documentos além daqueles elencados nos mencionados dispositivos legais. </w:t>
      </w:r>
    </w:p>
    <w:p w14:paraId="1B68889A" w14:textId="77777777" w:rsidR="00255E99" w:rsidRPr="00681ECE" w:rsidRDefault="00255E99" w:rsidP="00043282">
      <w:pPr>
        <w:shd w:val="clear" w:color="auto" w:fill="FFFFFF"/>
        <w:spacing w:after="0" w:line="240" w:lineRule="auto"/>
        <w:jc w:val="both"/>
        <w:rPr>
          <w:rFonts w:ascii="Arial Narrow" w:eastAsia="Times New Roman" w:hAnsi="Arial Narrow" w:cs="Calibri"/>
          <w:color w:val="000000"/>
          <w:sz w:val="24"/>
          <w:szCs w:val="24"/>
          <w:bdr w:val="none" w:sz="0" w:space="0" w:color="auto" w:frame="1"/>
          <w:lang w:eastAsia="pt-BR"/>
        </w:rPr>
      </w:pPr>
    </w:p>
    <w:p w14:paraId="144D2994" w14:textId="316C9CC2" w:rsidR="00255E99" w:rsidRPr="00043282" w:rsidRDefault="00255E99" w:rsidP="00043282">
      <w:pPr>
        <w:shd w:val="clear" w:color="auto" w:fill="FFFFFF"/>
        <w:spacing w:after="0" w:line="240" w:lineRule="auto"/>
        <w:ind w:firstLine="567"/>
        <w:jc w:val="both"/>
        <w:rPr>
          <w:rFonts w:ascii="Arial Narrow" w:eastAsia="Times New Roman" w:hAnsi="Arial Narrow" w:cs="Calibri"/>
          <w:color w:val="000000"/>
          <w:sz w:val="24"/>
          <w:szCs w:val="24"/>
          <w:bdr w:val="none" w:sz="0" w:space="0" w:color="auto" w:frame="1"/>
          <w:lang w:eastAsia="pt-BR"/>
        </w:rPr>
      </w:pPr>
      <w:r w:rsidRPr="00043282">
        <w:rPr>
          <w:rFonts w:ascii="Arial Narrow" w:eastAsia="Times New Roman" w:hAnsi="Arial Narrow" w:cs="Calibri"/>
          <w:color w:val="000000"/>
          <w:sz w:val="24"/>
          <w:szCs w:val="24"/>
          <w:bdr w:val="none" w:sz="0" w:space="0" w:color="auto" w:frame="1"/>
          <w:lang w:eastAsia="pt-BR"/>
        </w:rPr>
        <w:t>Isso porque as exigências de habilitação nos processos licitatórios têm como parâmetro fundamental o art. 37, XXI, da Constituição Federal, que limita as exigências de qualificação técnica e econômica às ‘indispensáveis à garantia do cumprimento das obrigações’</w:t>
      </w:r>
      <w:r w:rsidRPr="00681ECE">
        <w:rPr>
          <w:rFonts w:ascii="Arial Narrow" w:eastAsia="Times New Roman" w:hAnsi="Arial Narrow" w:cs="Calibri"/>
          <w:color w:val="000000"/>
          <w:sz w:val="24"/>
          <w:szCs w:val="24"/>
          <w:bdr w:val="none" w:sz="0" w:space="0" w:color="auto" w:frame="1"/>
          <w:lang w:eastAsia="pt-BR"/>
        </w:rPr>
        <w:t>, com o objetivo evitar a restrição da competitividade do certame.</w:t>
      </w:r>
      <w:r w:rsidRPr="00043282">
        <w:rPr>
          <w:rFonts w:ascii="Arial Narrow" w:eastAsia="Times New Roman" w:hAnsi="Arial Narrow" w:cs="Calibri"/>
          <w:color w:val="000000"/>
          <w:sz w:val="24"/>
          <w:szCs w:val="24"/>
          <w:bdr w:val="none" w:sz="0" w:space="0" w:color="auto" w:frame="1"/>
          <w:lang w:eastAsia="pt-BR"/>
        </w:rPr>
        <w:t> </w:t>
      </w:r>
    </w:p>
    <w:p w14:paraId="26914133" w14:textId="77777777" w:rsidR="00255E99" w:rsidRPr="00681ECE" w:rsidRDefault="00255E99" w:rsidP="00043282">
      <w:pPr>
        <w:shd w:val="clear" w:color="auto" w:fill="FFFFFF"/>
        <w:spacing w:after="0" w:line="240" w:lineRule="auto"/>
        <w:jc w:val="both"/>
        <w:rPr>
          <w:rFonts w:ascii="Arial Narrow" w:eastAsia="Times New Roman" w:hAnsi="Arial Narrow" w:cs="Calibri"/>
          <w:color w:val="000000"/>
          <w:sz w:val="24"/>
          <w:szCs w:val="24"/>
          <w:bdr w:val="none" w:sz="0" w:space="0" w:color="auto" w:frame="1"/>
          <w:lang w:eastAsia="pt-BR"/>
        </w:rPr>
      </w:pPr>
    </w:p>
    <w:p w14:paraId="7FEDBAF5" w14:textId="5B5CC531" w:rsidR="00932BF2" w:rsidRPr="00681ECE" w:rsidRDefault="00255E99" w:rsidP="00110D98">
      <w:pPr>
        <w:shd w:val="clear" w:color="auto" w:fill="FFFFFF"/>
        <w:spacing w:after="0" w:line="240" w:lineRule="auto"/>
        <w:ind w:firstLine="567"/>
        <w:jc w:val="both"/>
        <w:rPr>
          <w:rFonts w:ascii="Arial Narrow" w:eastAsia="Times New Roman" w:hAnsi="Arial Narrow" w:cs="Calibri"/>
          <w:color w:val="000000"/>
          <w:sz w:val="24"/>
          <w:szCs w:val="24"/>
          <w:bdr w:val="none" w:sz="0" w:space="0" w:color="auto" w:frame="1"/>
          <w:lang w:eastAsia="pt-BR"/>
        </w:rPr>
      </w:pPr>
      <w:r w:rsidRPr="00681ECE">
        <w:rPr>
          <w:rFonts w:ascii="Arial Narrow" w:eastAsia="Times New Roman" w:hAnsi="Arial Narrow" w:cs="Calibri"/>
          <w:color w:val="000000"/>
          <w:sz w:val="24"/>
          <w:szCs w:val="24"/>
          <w:bdr w:val="none" w:sz="0" w:space="0" w:color="auto" w:frame="1"/>
          <w:lang w:eastAsia="pt-BR"/>
        </w:rPr>
        <w:t>Por todo o exposto, temos que a exigência em comento não está prevista em nenhum dos dispositivos que regulam a habilitação jurídica, a qualificação técnica, a qualificação econômico-financeira e a regularidade fiscal ou trabalhista, devendo, portanto, ser rechaçada.</w:t>
      </w:r>
      <w:r w:rsidRPr="00043282">
        <w:rPr>
          <w:rFonts w:ascii="Arial Narrow" w:eastAsia="Times New Roman" w:hAnsi="Arial Narrow" w:cs="Calibri"/>
          <w:color w:val="000000"/>
          <w:sz w:val="24"/>
          <w:szCs w:val="24"/>
          <w:bdr w:val="none" w:sz="0" w:space="0" w:color="auto" w:frame="1"/>
          <w:lang w:eastAsia="pt-BR"/>
        </w:rPr>
        <w:t> </w:t>
      </w:r>
    </w:p>
    <w:p w14:paraId="5E2A332D" w14:textId="77777777" w:rsidR="00255E99" w:rsidRPr="00255E99" w:rsidRDefault="00255E99" w:rsidP="00255E99">
      <w:pPr>
        <w:shd w:val="clear" w:color="auto" w:fill="FFFFFF"/>
        <w:spacing w:after="0" w:line="240" w:lineRule="auto"/>
        <w:jc w:val="both"/>
        <w:rPr>
          <w:rFonts w:ascii="Arial Narrow" w:eastAsia="Times New Roman" w:hAnsi="Arial Narrow" w:cs="Calibri"/>
          <w:color w:val="000000"/>
          <w:sz w:val="24"/>
          <w:szCs w:val="24"/>
          <w:lang w:eastAsia="pt-BR"/>
        </w:rPr>
      </w:pPr>
    </w:p>
    <w:p w14:paraId="13FA2E07" w14:textId="77777777" w:rsidR="00255E99" w:rsidRPr="00255E99" w:rsidRDefault="00255E99" w:rsidP="00255E99">
      <w:pPr>
        <w:shd w:val="clear" w:color="auto" w:fill="FFFFFF"/>
        <w:spacing w:after="0" w:line="240" w:lineRule="auto"/>
        <w:jc w:val="both"/>
        <w:rPr>
          <w:rFonts w:ascii="Arial Narrow" w:eastAsia="Times New Roman" w:hAnsi="Arial Narrow" w:cs="Calibri"/>
          <w:color w:val="000000"/>
          <w:sz w:val="24"/>
          <w:szCs w:val="24"/>
          <w:lang w:eastAsia="pt-BR"/>
        </w:rPr>
      </w:pPr>
      <w:r w:rsidRPr="00255E99">
        <w:rPr>
          <w:rFonts w:ascii="Arial Narrow" w:eastAsia="Times New Roman" w:hAnsi="Arial Narrow" w:cs="Calibri"/>
          <w:b/>
          <w:bCs/>
          <w:color w:val="000000"/>
          <w:sz w:val="24"/>
          <w:szCs w:val="24"/>
          <w:u w:val="single"/>
          <w:bdr w:val="none" w:sz="0" w:space="0" w:color="auto" w:frame="1"/>
          <w:lang w:eastAsia="pt-BR"/>
        </w:rPr>
        <w:t>III. DOS PEDIDOS DE ESCLARECIMENTO </w:t>
      </w:r>
    </w:p>
    <w:p w14:paraId="7FC46C80" w14:textId="73605F52" w:rsidR="00255E99" w:rsidRDefault="00255E99" w:rsidP="00255E99">
      <w:pPr>
        <w:shd w:val="clear" w:color="auto" w:fill="FFFFFF"/>
        <w:spacing w:after="0" w:line="240" w:lineRule="auto"/>
        <w:ind w:firstLine="709"/>
        <w:jc w:val="both"/>
        <w:rPr>
          <w:rFonts w:ascii="Arial Narrow" w:eastAsia="Times New Roman" w:hAnsi="Arial Narrow" w:cs="Calibri"/>
          <w:color w:val="000000"/>
          <w:sz w:val="24"/>
          <w:szCs w:val="24"/>
          <w:bdr w:val="none" w:sz="0" w:space="0" w:color="auto" w:frame="1"/>
          <w:lang w:eastAsia="pt-BR"/>
        </w:rPr>
      </w:pPr>
      <w:r w:rsidRPr="00255E99">
        <w:rPr>
          <w:rFonts w:ascii="Arial Narrow" w:eastAsia="Times New Roman" w:hAnsi="Arial Narrow" w:cs="Calibri"/>
          <w:color w:val="000000"/>
          <w:sz w:val="24"/>
          <w:szCs w:val="24"/>
          <w:bdr w:val="none" w:sz="0" w:space="0" w:color="auto" w:frame="1"/>
          <w:lang w:eastAsia="pt-BR"/>
        </w:rPr>
        <w:t>Diante de todo o exposto, em respeito aos princípios da Legalidade, da Ampla Concorrência e da Isonomia, entendemos que: </w:t>
      </w:r>
    </w:p>
    <w:p w14:paraId="5335B2C4" w14:textId="77777777" w:rsidR="00110D98" w:rsidRPr="00255E99" w:rsidRDefault="00110D98" w:rsidP="00255E99">
      <w:pPr>
        <w:shd w:val="clear" w:color="auto" w:fill="FFFFFF"/>
        <w:spacing w:after="0" w:line="240" w:lineRule="auto"/>
        <w:ind w:firstLine="709"/>
        <w:jc w:val="both"/>
        <w:rPr>
          <w:rFonts w:ascii="Arial Narrow" w:eastAsia="Times New Roman" w:hAnsi="Arial Narrow" w:cs="Times New Roman"/>
          <w:color w:val="000000"/>
          <w:sz w:val="24"/>
          <w:szCs w:val="24"/>
          <w:lang w:eastAsia="pt-BR"/>
        </w:rPr>
      </w:pPr>
    </w:p>
    <w:p w14:paraId="2D835FEA" w14:textId="77777777" w:rsidR="00255E99" w:rsidRPr="00255E99" w:rsidRDefault="00255E99" w:rsidP="00255E99">
      <w:pPr>
        <w:shd w:val="clear" w:color="auto" w:fill="FFFFFF"/>
        <w:spacing w:after="0" w:line="240" w:lineRule="auto"/>
        <w:ind w:firstLine="709"/>
        <w:jc w:val="both"/>
        <w:rPr>
          <w:rFonts w:ascii="Arial Narrow" w:eastAsia="Times New Roman" w:hAnsi="Arial Narrow" w:cs="Times New Roman"/>
          <w:color w:val="000000"/>
          <w:sz w:val="24"/>
          <w:szCs w:val="24"/>
          <w:lang w:eastAsia="pt-BR"/>
        </w:rPr>
      </w:pPr>
      <w:r w:rsidRPr="00255E99">
        <w:rPr>
          <w:rFonts w:ascii="Arial Narrow" w:eastAsia="Times New Roman" w:hAnsi="Arial Narrow" w:cs="Calibri"/>
          <w:b/>
          <w:bCs/>
          <w:color w:val="000000"/>
          <w:sz w:val="24"/>
          <w:szCs w:val="24"/>
          <w:bdr w:val="none" w:sz="0" w:space="0" w:color="auto" w:frame="1"/>
          <w:lang w:eastAsia="pt-BR"/>
        </w:rPr>
        <w:t>a)</w:t>
      </w:r>
      <w:r w:rsidRPr="00255E99">
        <w:rPr>
          <w:rFonts w:ascii="Arial Narrow" w:eastAsia="Times New Roman" w:hAnsi="Arial Narrow" w:cs="Calibri"/>
          <w:color w:val="000000"/>
          <w:sz w:val="24"/>
          <w:szCs w:val="24"/>
          <w:bdr w:val="none" w:sz="0" w:space="0" w:color="auto" w:frame="1"/>
          <w:lang w:eastAsia="pt-BR"/>
        </w:rPr>
        <w:t> </w:t>
      </w:r>
      <w:r w:rsidRPr="00255E99">
        <w:rPr>
          <w:rFonts w:ascii="Arial Narrow" w:eastAsia="Times New Roman" w:hAnsi="Arial Narrow" w:cs="Calibri"/>
          <w:b/>
          <w:bCs/>
          <w:color w:val="000000"/>
          <w:sz w:val="24"/>
          <w:szCs w:val="24"/>
          <w:bdr w:val="none" w:sz="0" w:space="0" w:color="auto" w:frame="1"/>
          <w:lang w:eastAsia="pt-BR"/>
        </w:rPr>
        <w:t xml:space="preserve">Os </w:t>
      </w:r>
      <w:proofErr w:type="spellStart"/>
      <w:r w:rsidRPr="00255E99">
        <w:rPr>
          <w:rFonts w:ascii="Arial Narrow" w:eastAsia="Times New Roman" w:hAnsi="Arial Narrow" w:cs="Calibri"/>
          <w:b/>
          <w:bCs/>
          <w:color w:val="000000"/>
          <w:sz w:val="24"/>
          <w:szCs w:val="24"/>
          <w:bdr w:val="none" w:sz="0" w:space="0" w:color="auto" w:frame="1"/>
          <w:lang w:eastAsia="pt-BR"/>
        </w:rPr>
        <w:t>partnumbers</w:t>
      </w:r>
      <w:proofErr w:type="spellEnd"/>
      <w:r w:rsidRPr="00255E99">
        <w:rPr>
          <w:rFonts w:ascii="Arial Narrow" w:eastAsia="Times New Roman" w:hAnsi="Arial Narrow" w:cs="Calibri"/>
          <w:b/>
          <w:bCs/>
          <w:color w:val="000000"/>
          <w:sz w:val="24"/>
          <w:szCs w:val="24"/>
          <w:bdr w:val="none" w:sz="0" w:space="0" w:color="auto" w:frame="1"/>
          <w:lang w:eastAsia="pt-BR"/>
        </w:rPr>
        <w:t xml:space="preserve"> descritos no edital são exemplificativos, e que atendemos plenamente ao edital com a modalidade OVS ES, o qual atende todas as especificações técnicas exigidas no edital em epígrafe, para alcançar seu objetivo; </w:t>
      </w:r>
    </w:p>
    <w:p w14:paraId="24035FC3" w14:textId="6A2C7F1D" w:rsidR="00255E99" w:rsidRPr="00255E99" w:rsidRDefault="00255E99" w:rsidP="00255E99">
      <w:pPr>
        <w:shd w:val="clear" w:color="auto" w:fill="FFFFFF"/>
        <w:spacing w:after="0" w:line="240" w:lineRule="auto"/>
        <w:ind w:firstLine="709"/>
        <w:jc w:val="both"/>
        <w:rPr>
          <w:rFonts w:ascii="Arial Narrow" w:eastAsia="Times New Roman" w:hAnsi="Arial Narrow" w:cs="Times New Roman"/>
          <w:color w:val="000000"/>
          <w:sz w:val="24"/>
          <w:szCs w:val="24"/>
          <w:lang w:eastAsia="pt-BR"/>
        </w:rPr>
      </w:pPr>
      <w:r w:rsidRPr="00255E99">
        <w:rPr>
          <w:rFonts w:ascii="Arial Narrow" w:eastAsia="Times New Roman" w:hAnsi="Arial Narrow" w:cs="Calibri"/>
          <w:b/>
          <w:bCs/>
          <w:color w:val="000000"/>
          <w:sz w:val="24"/>
          <w:szCs w:val="24"/>
          <w:bdr w:val="none" w:sz="0" w:space="0" w:color="auto" w:frame="1"/>
          <w:lang w:eastAsia="pt-BR"/>
        </w:rPr>
        <w:t xml:space="preserve">b) Tendo em vista a afronta à legislação vigente, bem como ao entendimento do TCU e da SEFTI, não se aplicam os itens do </w:t>
      </w:r>
      <w:r w:rsidR="009D6EB5" w:rsidRPr="00255E99">
        <w:rPr>
          <w:rFonts w:ascii="Arial Narrow" w:eastAsia="Times New Roman" w:hAnsi="Arial Narrow" w:cs="Calibri"/>
          <w:b/>
          <w:bCs/>
          <w:color w:val="000000"/>
          <w:sz w:val="24"/>
          <w:szCs w:val="24"/>
          <w:bdr w:val="none" w:sz="0" w:space="0" w:color="auto" w:frame="1"/>
          <w:lang w:eastAsia="pt-BR"/>
        </w:rPr>
        <w:t>Edital descritos</w:t>
      </w:r>
      <w:r w:rsidRPr="00255E99">
        <w:rPr>
          <w:rFonts w:ascii="Arial Narrow" w:eastAsia="Times New Roman" w:hAnsi="Arial Narrow" w:cs="Calibri"/>
          <w:b/>
          <w:bCs/>
          <w:color w:val="000000"/>
          <w:sz w:val="24"/>
          <w:szCs w:val="24"/>
          <w:bdr w:val="none" w:sz="0" w:space="0" w:color="auto" w:frame="1"/>
          <w:lang w:eastAsia="pt-BR"/>
        </w:rPr>
        <w:t xml:space="preserve"> acima, que exigem declarações e documentos específicos fornecidos pelo Fabricante.</w:t>
      </w:r>
      <w:r w:rsidRPr="00255E99">
        <w:rPr>
          <w:rFonts w:ascii="Arial Narrow" w:eastAsia="Times New Roman" w:hAnsi="Arial Narrow" w:cs="Calibri"/>
          <w:color w:val="000000"/>
          <w:sz w:val="24"/>
          <w:szCs w:val="24"/>
          <w:bdr w:val="none" w:sz="0" w:space="0" w:color="auto" w:frame="1"/>
          <w:lang w:eastAsia="pt-BR"/>
        </w:rPr>
        <w:t> </w:t>
      </w:r>
    </w:p>
    <w:p w14:paraId="307D87D2" w14:textId="77777777" w:rsidR="00255E99" w:rsidRPr="00255E99" w:rsidRDefault="00255E99" w:rsidP="00255E99">
      <w:pPr>
        <w:shd w:val="clear" w:color="auto" w:fill="FFFFFF"/>
        <w:spacing w:after="0" w:line="240" w:lineRule="auto"/>
        <w:textAlignment w:val="baseline"/>
        <w:rPr>
          <w:rFonts w:ascii="Arial Narrow" w:eastAsia="Times New Roman" w:hAnsi="Arial Narrow" w:cs="Calibri"/>
          <w:color w:val="000000"/>
          <w:sz w:val="24"/>
          <w:szCs w:val="24"/>
          <w:lang w:eastAsia="pt-BR"/>
        </w:rPr>
      </w:pPr>
      <w:r w:rsidRPr="00255E99">
        <w:rPr>
          <w:rFonts w:ascii="Arial Narrow" w:eastAsia="Times New Roman" w:hAnsi="Arial Narrow" w:cs="Calibri"/>
          <w:color w:val="000000"/>
          <w:sz w:val="24"/>
          <w:szCs w:val="24"/>
          <w:bdr w:val="none" w:sz="0" w:space="0" w:color="auto" w:frame="1"/>
          <w:lang w:eastAsia="pt-BR"/>
        </w:rPr>
        <w:t> </w:t>
      </w:r>
      <w:r w:rsidRPr="00255E99">
        <w:rPr>
          <w:rFonts w:ascii="Arial Narrow" w:eastAsia="Times New Roman" w:hAnsi="Arial Narrow" w:cs="Calibri"/>
          <w:color w:val="000000"/>
          <w:sz w:val="24"/>
          <w:szCs w:val="24"/>
          <w:lang w:eastAsia="pt-BR"/>
        </w:rPr>
        <w:t> </w:t>
      </w:r>
    </w:p>
    <w:p w14:paraId="217B855B" w14:textId="77777777" w:rsidR="009B5C97" w:rsidRDefault="00255E99" w:rsidP="00255E99">
      <w:pPr>
        <w:shd w:val="clear" w:color="auto" w:fill="FFFFFF"/>
        <w:spacing w:after="0" w:line="240" w:lineRule="auto"/>
        <w:rPr>
          <w:rFonts w:ascii="Arial Narrow" w:eastAsia="Times New Roman" w:hAnsi="Arial Narrow" w:cs="Calibri"/>
          <w:color w:val="000000"/>
          <w:sz w:val="24"/>
          <w:szCs w:val="24"/>
          <w:bdr w:val="none" w:sz="0" w:space="0" w:color="auto" w:frame="1"/>
          <w:lang w:eastAsia="pt-BR"/>
        </w:rPr>
      </w:pPr>
      <w:r w:rsidRPr="00255E99">
        <w:rPr>
          <w:rFonts w:ascii="Arial Narrow" w:eastAsia="Times New Roman" w:hAnsi="Arial Narrow" w:cs="Calibri"/>
          <w:color w:val="000000"/>
          <w:sz w:val="24"/>
          <w:szCs w:val="24"/>
          <w:bdr w:val="none" w:sz="0" w:space="0" w:color="auto" w:frame="1"/>
          <w:lang w:eastAsia="pt-BR"/>
        </w:rPr>
        <w:t>Estão corretos os nossos entendimentos?</w:t>
      </w:r>
    </w:p>
    <w:p w14:paraId="5AD03DCF" w14:textId="443ADEA0" w:rsidR="00255E99" w:rsidRPr="00255E99" w:rsidRDefault="00255E99" w:rsidP="00255E99">
      <w:pPr>
        <w:shd w:val="clear" w:color="auto" w:fill="FFFFFF"/>
        <w:spacing w:after="0" w:line="240" w:lineRule="auto"/>
        <w:rPr>
          <w:rFonts w:ascii="Arial Narrow" w:eastAsia="Times New Roman" w:hAnsi="Arial Narrow" w:cs="Calibri"/>
          <w:color w:val="000000"/>
          <w:sz w:val="24"/>
          <w:szCs w:val="24"/>
          <w:lang w:eastAsia="pt-BR"/>
        </w:rPr>
      </w:pPr>
      <w:r w:rsidRPr="00255E99">
        <w:rPr>
          <w:rFonts w:ascii="Arial Narrow" w:eastAsia="Times New Roman" w:hAnsi="Arial Narrow" w:cs="Calibri"/>
          <w:color w:val="000000"/>
          <w:sz w:val="24"/>
          <w:szCs w:val="24"/>
          <w:bdr w:val="none" w:sz="0" w:space="0" w:color="auto" w:frame="1"/>
          <w:lang w:eastAsia="pt-BR"/>
        </w:rPr>
        <w:t> </w:t>
      </w:r>
    </w:p>
    <w:p w14:paraId="14863B69" w14:textId="5A45EEF2" w:rsidR="000337B7" w:rsidRPr="00681ECE" w:rsidRDefault="00932BF2" w:rsidP="00693691">
      <w:pPr>
        <w:pStyle w:val="xmsolistparagraph"/>
        <w:shd w:val="clear" w:color="auto" w:fill="FFFFFF"/>
        <w:spacing w:before="0" w:beforeAutospacing="0" w:after="0" w:afterAutospacing="0"/>
        <w:jc w:val="both"/>
        <w:rPr>
          <w:rFonts w:ascii="Arial Narrow" w:eastAsiaTheme="minorHAnsi" w:hAnsi="Arial Narrow" w:cs="Calibri"/>
          <w:color w:val="000000"/>
          <w:bdr w:val="none" w:sz="0" w:space="0" w:color="auto" w:frame="1"/>
          <w:lang w:eastAsia="en-US"/>
        </w:rPr>
      </w:pPr>
      <w:r w:rsidRPr="00932BF2">
        <w:rPr>
          <w:rFonts w:ascii="Arial Narrow" w:hAnsi="Arial Narrow"/>
          <w:b/>
          <w:bCs/>
          <w:color w:val="000000"/>
        </w:rPr>
        <w:t>RESPOSTA</w:t>
      </w:r>
      <w:r w:rsidR="00110D98">
        <w:rPr>
          <w:rFonts w:ascii="Arial Narrow" w:hAnsi="Arial Narrow"/>
          <w:b/>
          <w:bCs/>
          <w:color w:val="000000"/>
        </w:rPr>
        <w:t>:</w:t>
      </w:r>
      <w:r w:rsidR="00693691">
        <w:rPr>
          <w:rFonts w:ascii="Arial Narrow" w:hAnsi="Arial Narrow"/>
          <w:b/>
          <w:bCs/>
          <w:color w:val="000000"/>
        </w:rPr>
        <w:t xml:space="preserve"> </w:t>
      </w:r>
      <w:r w:rsidR="000337B7" w:rsidRPr="00681ECE">
        <w:rPr>
          <w:rFonts w:ascii="Arial Narrow" w:eastAsiaTheme="minorHAnsi" w:hAnsi="Arial Narrow" w:cs="Calibri"/>
          <w:color w:val="000000"/>
          <w:bdr w:val="none" w:sz="0" w:space="0" w:color="auto" w:frame="1"/>
          <w:lang w:eastAsia="en-US"/>
        </w:rPr>
        <w:t xml:space="preserve">Está incorreta a afirmação. De acordo com o fabricante, a Microsoft conta com diferentes modelos de licenciamento com o objetivo de atender aos mais variados tipos e tamanhos de organizações. Para as organizações qualificadas </w:t>
      </w:r>
      <w:r w:rsidR="00681ECE" w:rsidRPr="00681ECE">
        <w:rPr>
          <w:rFonts w:ascii="Arial Narrow" w:eastAsiaTheme="minorHAnsi" w:hAnsi="Arial Narrow" w:cs="Calibri"/>
          <w:color w:val="000000"/>
          <w:bdr w:val="none" w:sz="0" w:space="0" w:color="auto" w:frame="1"/>
          <w:lang w:eastAsia="en-US"/>
        </w:rPr>
        <w:t>como educacionais</w:t>
      </w:r>
      <w:r w:rsidR="000337B7" w:rsidRPr="00681ECE">
        <w:rPr>
          <w:rFonts w:ascii="Arial Narrow" w:eastAsiaTheme="minorHAnsi" w:hAnsi="Arial Narrow" w:cs="Calibri"/>
          <w:color w:val="000000"/>
          <w:bdr w:val="none" w:sz="0" w:space="0" w:color="auto" w:frame="1"/>
          <w:lang w:eastAsia="en-US"/>
        </w:rPr>
        <w:t>, isso não é diferente.</w:t>
      </w:r>
    </w:p>
    <w:p w14:paraId="7CA1F5B2" w14:textId="77777777" w:rsidR="000337B7" w:rsidRPr="00681ECE" w:rsidRDefault="000337B7" w:rsidP="00681ECE">
      <w:pPr>
        <w:pStyle w:val="xmsolistparagraph"/>
        <w:shd w:val="clear" w:color="auto" w:fill="FFFFFF"/>
        <w:spacing w:before="0" w:beforeAutospacing="0" w:after="0" w:afterAutospacing="0"/>
        <w:jc w:val="both"/>
        <w:rPr>
          <w:rFonts w:ascii="Arial Narrow" w:eastAsiaTheme="minorHAnsi" w:hAnsi="Arial Narrow" w:cs="Calibri"/>
          <w:color w:val="000000"/>
          <w:bdr w:val="none" w:sz="0" w:space="0" w:color="auto" w:frame="1"/>
          <w:lang w:eastAsia="en-US"/>
        </w:rPr>
      </w:pPr>
      <w:r w:rsidRPr="00681ECE">
        <w:rPr>
          <w:rFonts w:ascii="Arial Narrow" w:eastAsiaTheme="minorHAnsi" w:hAnsi="Arial Narrow" w:cs="Calibri"/>
          <w:color w:val="000000"/>
          <w:bdr w:val="none" w:sz="0" w:space="0" w:color="auto" w:frame="1"/>
          <w:lang w:eastAsia="en-US"/>
        </w:rPr>
        <w:t>Sendo assim, abaixo o link que descreve com detalhes as opções e recomendações para cada tipo de contrato de acordo com a estratégia e tamanho da organização.</w:t>
      </w:r>
    </w:p>
    <w:p w14:paraId="6C5BA399" w14:textId="77777777" w:rsidR="000337B7" w:rsidRPr="00681ECE" w:rsidRDefault="000337B7" w:rsidP="00681ECE">
      <w:pPr>
        <w:pStyle w:val="xmsolistparagraph"/>
        <w:shd w:val="clear" w:color="auto" w:fill="FFFFFF"/>
        <w:spacing w:before="0" w:beforeAutospacing="0" w:after="0" w:afterAutospacing="0"/>
        <w:jc w:val="both"/>
        <w:rPr>
          <w:rFonts w:ascii="Arial Narrow" w:eastAsiaTheme="minorHAnsi" w:hAnsi="Arial Narrow" w:cs="Calibri"/>
          <w:color w:val="000000"/>
          <w:bdr w:val="none" w:sz="0" w:space="0" w:color="auto" w:frame="1"/>
          <w:lang w:eastAsia="en-US"/>
        </w:rPr>
      </w:pPr>
    </w:p>
    <w:p w14:paraId="71FD111B" w14:textId="53D04875" w:rsidR="000337B7" w:rsidRPr="00681ECE" w:rsidRDefault="000337B7" w:rsidP="00681ECE">
      <w:pPr>
        <w:pStyle w:val="xmsolistparagraph"/>
        <w:shd w:val="clear" w:color="auto" w:fill="FFFFFF"/>
        <w:spacing w:before="0" w:beforeAutospacing="0" w:after="0" w:afterAutospacing="0"/>
        <w:jc w:val="both"/>
        <w:rPr>
          <w:rFonts w:ascii="Arial Narrow" w:hAnsi="Arial Narrow"/>
          <w:b/>
          <w:bCs/>
          <w:color w:val="000000"/>
        </w:rPr>
      </w:pPr>
      <w:r w:rsidRPr="00681ECE">
        <w:rPr>
          <w:rFonts w:ascii="Arial Narrow" w:eastAsiaTheme="minorHAnsi" w:hAnsi="Arial Narrow" w:cs="Calibri"/>
          <w:color w:val="000000"/>
          <w:bdr w:val="none" w:sz="0" w:space="0" w:color="auto" w:frame="1"/>
          <w:lang w:eastAsia="en-US"/>
        </w:rPr>
        <w:t>Ou seja, existem diferenças entre os modelos, onde impacta diretamente na distribuição das licenças solicitadas.</w:t>
      </w:r>
    </w:p>
    <w:p w14:paraId="2B4493EA" w14:textId="77777777" w:rsidR="00681ECE" w:rsidRPr="00681ECE" w:rsidRDefault="00681ECE" w:rsidP="00681ECE">
      <w:pPr>
        <w:pStyle w:val="xmsolistparagraph"/>
        <w:shd w:val="clear" w:color="auto" w:fill="FFFFFF"/>
        <w:spacing w:before="0" w:beforeAutospacing="0" w:after="0" w:afterAutospacing="0"/>
        <w:jc w:val="both"/>
        <w:rPr>
          <w:rFonts w:ascii="Arial Narrow" w:hAnsi="Arial Narrow"/>
          <w:b/>
          <w:bCs/>
          <w:color w:val="000000"/>
        </w:rPr>
      </w:pPr>
    </w:p>
    <w:p w14:paraId="3ABBCDB8" w14:textId="77777777" w:rsidR="000337B7" w:rsidRPr="00681ECE" w:rsidRDefault="000337B7" w:rsidP="00681ECE">
      <w:pPr>
        <w:jc w:val="both"/>
        <w:rPr>
          <w:rFonts w:ascii="Arial Narrow" w:hAnsi="Arial Narrow"/>
          <w:sz w:val="24"/>
          <w:szCs w:val="24"/>
        </w:rPr>
      </w:pPr>
      <w:r w:rsidRPr="00681ECE">
        <w:rPr>
          <w:rFonts w:ascii="Arial Narrow" w:hAnsi="Arial Narrow"/>
          <w:b/>
          <w:bCs/>
          <w:sz w:val="24"/>
          <w:szCs w:val="24"/>
          <w:u w:val="single"/>
        </w:rPr>
        <w:t>Programas de Licenciamento para Instituições Educacionais:</w:t>
      </w:r>
      <w:r w:rsidRPr="00681ECE">
        <w:rPr>
          <w:rFonts w:ascii="Arial Narrow" w:hAnsi="Arial Narrow"/>
          <w:sz w:val="24"/>
          <w:szCs w:val="24"/>
        </w:rPr>
        <w:t xml:space="preserve"> </w:t>
      </w:r>
      <w:hyperlink r:id="rId10" w:history="1">
        <w:r w:rsidRPr="00681ECE">
          <w:rPr>
            <w:rStyle w:val="Hyperlink"/>
            <w:rFonts w:ascii="Arial Narrow" w:hAnsi="Arial Narrow"/>
            <w:sz w:val="24"/>
            <w:szCs w:val="24"/>
          </w:rPr>
          <w:t>https://www.microsoft.com/pt-br/licensing/licensing-programs/licensing-for-industries?activetab=licensing-for-industries-pivot:primaryr3</w:t>
        </w:r>
      </w:hyperlink>
      <w:r w:rsidRPr="00681ECE">
        <w:rPr>
          <w:rFonts w:ascii="Arial Narrow" w:hAnsi="Arial Narrow"/>
          <w:sz w:val="24"/>
          <w:szCs w:val="24"/>
        </w:rPr>
        <w:t xml:space="preserve"> </w:t>
      </w:r>
    </w:p>
    <w:p w14:paraId="51CFE143" w14:textId="77777777" w:rsidR="000337B7" w:rsidRPr="00681ECE" w:rsidRDefault="000337B7" w:rsidP="00681ECE">
      <w:pPr>
        <w:jc w:val="both"/>
        <w:rPr>
          <w:rFonts w:ascii="Arial Narrow" w:hAnsi="Arial Narrow"/>
          <w:sz w:val="24"/>
          <w:szCs w:val="24"/>
          <w:lang w:val="en-US"/>
        </w:rPr>
      </w:pPr>
      <w:r w:rsidRPr="00681ECE">
        <w:rPr>
          <w:rFonts w:ascii="Arial Narrow" w:hAnsi="Arial Narrow"/>
          <w:i/>
          <w:iCs/>
          <w:sz w:val="24"/>
          <w:szCs w:val="24"/>
          <w:lang w:val="en-US"/>
        </w:rPr>
        <w:t xml:space="preserve">“For education customers that license products in greater quantity and manage software across multiple devices, Microsoft Volume Licensing agreements can provide the most cost-effective way to acquire licenses. The </w:t>
      </w:r>
      <w:r w:rsidRPr="00681ECE">
        <w:rPr>
          <w:rFonts w:ascii="Arial Narrow" w:hAnsi="Arial Narrow"/>
          <w:b/>
          <w:bCs/>
          <w:i/>
          <w:iCs/>
          <w:sz w:val="24"/>
          <w:szCs w:val="24"/>
          <w:lang w:val="en-US"/>
        </w:rPr>
        <w:t>Enrollment for Education Solutions (EES)</w:t>
      </w:r>
      <w:r w:rsidRPr="00681ECE">
        <w:rPr>
          <w:rFonts w:ascii="Arial Narrow" w:hAnsi="Arial Narrow"/>
          <w:i/>
          <w:iCs/>
          <w:sz w:val="24"/>
          <w:szCs w:val="24"/>
          <w:lang w:val="en-US"/>
        </w:rPr>
        <w:t xml:space="preserve"> provides subscription licensing for primary/secondary and high education institutions with </w:t>
      </w:r>
      <w:r w:rsidRPr="00681ECE">
        <w:rPr>
          <w:rFonts w:ascii="Arial Narrow" w:hAnsi="Arial Narrow"/>
          <w:b/>
          <w:bCs/>
          <w:i/>
          <w:iCs/>
          <w:sz w:val="24"/>
          <w:szCs w:val="24"/>
          <w:lang w:val="en-US"/>
        </w:rPr>
        <w:t>over 1,000 users</w:t>
      </w:r>
      <w:r w:rsidRPr="00681ECE">
        <w:rPr>
          <w:rFonts w:ascii="Arial Narrow" w:hAnsi="Arial Narrow"/>
          <w:i/>
          <w:iCs/>
          <w:sz w:val="24"/>
          <w:szCs w:val="24"/>
          <w:lang w:val="en-US"/>
        </w:rPr>
        <w:t xml:space="preserve">. EES offer the simplicity of licensing Education Platform Products organization-wide trough an annual count </w:t>
      </w:r>
      <w:r w:rsidRPr="00681ECE">
        <w:rPr>
          <w:rFonts w:ascii="Arial Narrow" w:hAnsi="Arial Narrow"/>
          <w:i/>
          <w:iCs/>
          <w:sz w:val="24"/>
          <w:szCs w:val="24"/>
          <w:lang w:val="en-US"/>
        </w:rPr>
        <w:lastRenderedPageBreak/>
        <w:t xml:space="preserve">of users (known as “Education Qualified Users”) instead of PCs/devices and the flexibility to order additional products in any quantity. EES provides assured coverage for Education Platform Products through one annual count of Education Qualified Users, the ability to add additional product as needed, free licensing options, and student benefits for popular products. </w:t>
      </w:r>
    </w:p>
    <w:p w14:paraId="2F01A3E1" w14:textId="77777777" w:rsidR="000337B7" w:rsidRPr="00681ECE" w:rsidRDefault="000337B7" w:rsidP="00681ECE">
      <w:pPr>
        <w:jc w:val="both"/>
        <w:rPr>
          <w:rFonts w:ascii="Arial Narrow" w:hAnsi="Arial Narrow"/>
          <w:sz w:val="24"/>
          <w:szCs w:val="24"/>
        </w:rPr>
      </w:pPr>
      <w:r w:rsidRPr="00681ECE">
        <w:rPr>
          <w:rFonts w:ascii="Arial Narrow" w:hAnsi="Arial Narrow"/>
          <w:i/>
          <w:iCs/>
          <w:sz w:val="24"/>
          <w:szCs w:val="24"/>
          <w:lang w:val="en-US"/>
        </w:rPr>
        <w:t>The</w:t>
      </w:r>
      <w:r w:rsidRPr="00681ECE">
        <w:rPr>
          <w:rFonts w:ascii="Arial Narrow" w:hAnsi="Arial Narrow"/>
          <w:b/>
          <w:bCs/>
          <w:i/>
          <w:iCs/>
          <w:sz w:val="24"/>
          <w:szCs w:val="24"/>
          <w:lang w:val="en-US"/>
        </w:rPr>
        <w:t xml:space="preserve"> Microsoft Open Value Subscription for Education Solutions (OVS-ES)</w:t>
      </w:r>
      <w:r w:rsidRPr="00681ECE">
        <w:rPr>
          <w:rFonts w:ascii="Arial Narrow" w:hAnsi="Arial Narrow"/>
          <w:i/>
          <w:iCs/>
          <w:sz w:val="24"/>
          <w:szCs w:val="24"/>
          <w:lang w:val="en-US"/>
        </w:rPr>
        <w:t xml:space="preserve"> is a commitment-based Microsoft Volume Licensing agreement for academic organizations with </w:t>
      </w:r>
      <w:r w:rsidRPr="00681ECE">
        <w:rPr>
          <w:rFonts w:ascii="Arial Narrow" w:hAnsi="Arial Narrow"/>
          <w:b/>
          <w:bCs/>
          <w:i/>
          <w:iCs/>
          <w:sz w:val="24"/>
          <w:szCs w:val="24"/>
          <w:lang w:val="en-US"/>
        </w:rPr>
        <w:t>5 to 999 FTEs</w:t>
      </w:r>
      <w:r w:rsidRPr="00681ECE">
        <w:rPr>
          <w:rFonts w:ascii="Arial Narrow" w:hAnsi="Arial Narrow"/>
          <w:i/>
          <w:iCs/>
          <w:sz w:val="24"/>
          <w:szCs w:val="24"/>
          <w:lang w:val="en-US"/>
        </w:rPr>
        <w:t xml:space="preserve"> that want to license one or more desktop platform product or platform cloud service organization-wide. </w:t>
      </w:r>
      <w:r w:rsidRPr="00681ECE">
        <w:rPr>
          <w:rFonts w:ascii="Arial Narrow" w:hAnsi="Arial Narrow"/>
          <w:i/>
          <w:iCs/>
          <w:sz w:val="24"/>
          <w:szCs w:val="24"/>
        </w:rPr>
        <w:t xml:space="preserve">Software </w:t>
      </w:r>
      <w:proofErr w:type="spellStart"/>
      <w:r w:rsidRPr="00681ECE">
        <w:rPr>
          <w:rFonts w:ascii="Arial Narrow" w:hAnsi="Arial Narrow"/>
          <w:i/>
          <w:iCs/>
          <w:sz w:val="24"/>
          <w:szCs w:val="24"/>
        </w:rPr>
        <w:t>Assurance</w:t>
      </w:r>
      <w:proofErr w:type="spellEnd"/>
      <w:r w:rsidRPr="00681ECE">
        <w:rPr>
          <w:rFonts w:ascii="Arial Narrow" w:hAnsi="Arial Narrow"/>
          <w:i/>
          <w:iCs/>
          <w:sz w:val="24"/>
          <w:szCs w:val="24"/>
        </w:rPr>
        <w:t xml:space="preserve"> </w:t>
      </w:r>
      <w:proofErr w:type="spellStart"/>
      <w:r w:rsidRPr="00681ECE">
        <w:rPr>
          <w:rFonts w:ascii="Arial Narrow" w:hAnsi="Arial Narrow"/>
          <w:i/>
          <w:iCs/>
          <w:sz w:val="24"/>
          <w:szCs w:val="24"/>
        </w:rPr>
        <w:t>is</w:t>
      </w:r>
      <w:proofErr w:type="spellEnd"/>
      <w:r w:rsidRPr="00681ECE">
        <w:rPr>
          <w:rFonts w:ascii="Arial Narrow" w:hAnsi="Arial Narrow"/>
          <w:i/>
          <w:iCs/>
          <w:sz w:val="24"/>
          <w:szCs w:val="24"/>
        </w:rPr>
        <w:t xml:space="preserve"> </w:t>
      </w:r>
      <w:proofErr w:type="spellStart"/>
      <w:r w:rsidRPr="00681ECE">
        <w:rPr>
          <w:rFonts w:ascii="Arial Narrow" w:hAnsi="Arial Narrow"/>
          <w:i/>
          <w:iCs/>
          <w:sz w:val="24"/>
          <w:szCs w:val="24"/>
        </w:rPr>
        <w:t>included</w:t>
      </w:r>
      <w:proofErr w:type="spellEnd"/>
      <w:r w:rsidRPr="00681ECE">
        <w:rPr>
          <w:rFonts w:ascii="Arial Narrow" w:hAnsi="Arial Narrow"/>
          <w:i/>
          <w:iCs/>
          <w:sz w:val="24"/>
          <w:szCs w:val="24"/>
        </w:rPr>
        <w:t>.”</w:t>
      </w:r>
    </w:p>
    <w:p w14:paraId="1B53F40F" w14:textId="0D619C52" w:rsidR="000337B7" w:rsidRPr="00681ECE" w:rsidRDefault="000337B7" w:rsidP="00681ECE">
      <w:pPr>
        <w:jc w:val="both"/>
        <w:rPr>
          <w:rFonts w:ascii="Arial Narrow" w:hAnsi="Arial Narrow"/>
          <w:sz w:val="24"/>
          <w:szCs w:val="24"/>
        </w:rPr>
      </w:pPr>
      <w:r w:rsidRPr="00681ECE">
        <w:rPr>
          <w:rFonts w:ascii="Arial Narrow" w:hAnsi="Arial Narrow"/>
          <w:b/>
          <w:bCs/>
          <w:sz w:val="24"/>
          <w:szCs w:val="24"/>
        </w:rPr>
        <w:t>Importante</w:t>
      </w:r>
    </w:p>
    <w:p w14:paraId="7EC698DF" w14:textId="77777777" w:rsidR="000337B7" w:rsidRPr="00681ECE" w:rsidRDefault="000337B7" w:rsidP="00681ECE">
      <w:pPr>
        <w:jc w:val="both"/>
        <w:rPr>
          <w:rFonts w:ascii="Arial Narrow" w:hAnsi="Arial Narrow"/>
          <w:sz w:val="24"/>
          <w:szCs w:val="24"/>
        </w:rPr>
      </w:pPr>
      <w:r w:rsidRPr="00681ECE">
        <w:rPr>
          <w:rFonts w:ascii="Arial Narrow" w:hAnsi="Arial Narrow"/>
          <w:sz w:val="24"/>
          <w:szCs w:val="24"/>
        </w:rPr>
        <w:t xml:space="preserve">No caso do contrato do CNI/SESI/SENAI/IEL em análise, a Microsoft aprovou uma </w:t>
      </w:r>
      <w:r w:rsidRPr="00681ECE">
        <w:rPr>
          <w:rFonts w:ascii="Arial Narrow" w:hAnsi="Arial Narrow"/>
          <w:b/>
          <w:bCs/>
          <w:sz w:val="24"/>
          <w:szCs w:val="24"/>
          <w:u w:val="single"/>
        </w:rPr>
        <w:t>condição especial que, neste caso, só é aplicável ao EES</w:t>
      </w:r>
      <w:r w:rsidRPr="00681ECE">
        <w:rPr>
          <w:rFonts w:ascii="Arial Narrow" w:hAnsi="Arial Narrow"/>
          <w:sz w:val="24"/>
          <w:szCs w:val="24"/>
        </w:rPr>
        <w:t xml:space="preserve"> para que a CNI possa utilizar um </w:t>
      </w:r>
      <w:proofErr w:type="spellStart"/>
      <w:r w:rsidRPr="00681ECE">
        <w:rPr>
          <w:rFonts w:ascii="Arial Narrow" w:hAnsi="Arial Narrow"/>
          <w:i/>
          <w:iCs/>
          <w:sz w:val="24"/>
          <w:szCs w:val="24"/>
        </w:rPr>
        <w:t>agreement</w:t>
      </w:r>
      <w:proofErr w:type="spellEnd"/>
      <w:r w:rsidRPr="00681ECE">
        <w:rPr>
          <w:rFonts w:ascii="Arial Narrow" w:hAnsi="Arial Narrow"/>
          <w:i/>
          <w:iCs/>
          <w:sz w:val="24"/>
          <w:szCs w:val="24"/>
        </w:rPr>
        <w:t xml:space="preserve"> (EES)</w:t>
      </w:r>
      <w:r w:rsidRPr="00681ECE">
        <w:rPr>
          <w:rFonts w:ascii="Arial Narrow" w:hAnsi="Arial Narrow"/>
          <w:sz w:val="24"/>
          <w:szCs w:val="24"/>
        </w:rPr>
        <w:t xml:space="preserve"> apenas com créditos de Azure e pelo período de 12 meses.</w:t>
      </w:r>
    </w:p>
    <w:p w14:paraId="6C27C71C" w14:textId="77777777" w:rsidR="000337B7" w:rsidRPr="00681ECE" w:rsidRDefault="000337B7" w:rsidP="00681ECE">
      <w:pPr>
        <w:jc w:val="both"/>
        <w:rPr>
          <w:rFonts w:ascii="Arial Narrow" w:hAnsi="Arial Narrow"/>
          <w:sz w:val="24"/>
          <w:szCs w:val="24"/>
        </w:rPr>
      </w:pPr>
      <w:r w:rsidRPr="00681ECE">
        <w:rPr>
          <w:rFonts w:ascii="Arial Narrow" w:hAnsi="Arial Narrow"/>
          <w:b/>
          <w:bCs/>
          <w:sz w:val="24"/>
          <w:szCs w:val="24"/>
        </w:rPr>
        <w:t>Sobre os parceiros</w:t>
      </w:r>
    </w:p>
    <w:p w14:paraId="4D0E7B80" w14:textId="77777777" w:rsidR="000337B7" w:rsidRPr="00681ECE" w:rsidRDefault="000337B7" w:rsidP="00681ECE">
      <w:pPr>
        <w:jc w:val="both"/>
        <w:rPr>
          <w:rFonts w:ascii="Arial Narrow" w:hAnsi="Arial Narrow"/>
          <w:sz w:val="24"/>
          <w:szCs w:val="24"/>
        </w:rPr>
      </w:pPr>
      <w:r w:rsidRPr="00681ECE">
        <w:rPr>
          <w:rFonts w:ascii="Arial Narrow" w:hAnsi="Arial Narrow"/>
          <w:sz w:val="24"/>
          <w:szCs w:val="24"/>
        </w:rPr>
        <w:t>Complementando os modelos de licenciamento, existe também a qualificação dos parceiros que têm autorização para revender cada tipo de contrato de licenciamento Microsoft.</w:t>
      </w:r>
    </w:p>
    <w:p w14:paraId="2E8A45BA" w14:textId="3026CAAF" w:rsidR="000337B7" w:rsidRPr="00681ECE" w:rsidRDefault="000337B7" w:rsidP="00681ECE">
      <w:pPr>
        <w:jc w:val="both"/>
        <w:rPr>
          <w:rFonts w:ascii="Arial Narrow" w:hAnsi="Arial Narrow"/>
          <w:sz w:val="24"/>
          <w:szCs w:val="24"/>
        </w:rPr>
      </w:pPr>
      <w:r w:rsidRPr="00681ECE">
        <w:rPr>
          <w:rFonts w:ascii="Arial Narrow" w:hAnsi="Arial Narrow"/>
          <w:sz w:val="24"/>
          <w:szCs w:val="24"/>
        </w:rPr>
        <w:t xml:space="preserve">Sobre os parceiros, mais detalhadamente, para os contratos de licenciamento em volume Enterprise </w:t>
      </w:r>
      <w:proofErr w:type="spellStart"/>
      <w:r w:rsidRPr="00681ECE">
        <w:rPr>
          <w:rFonts w:ascii="Arial Narrow" w:hAnsi="Arial Narrow"/>
          <w:sz w:val="24"/>
          <w:szCs w:val="24"/>
        </w:rPr>
        <w:t>Agreement</w:t>
      </w:r>
      <w:proofErr w:type="spellEnd"/>
      <w:r w:rsidRPr="00681ECE">
        <w:rPr>
          <w:rFonts w:ascii="Arial Narrow" w:hAnsi="Arial Narrow"/>
          <w:sz w:val="24"/>
          <w:szCs w:val="24"/>
        </w:rPr>
        <w:t xml:space="preserve"> (incluindo o EES) a participação nos certames públicos é feita pelos LSP (</w:t>
      </w:r>
      <w:proofErr w:type="spellStart"/>
      <w:r w:rsidRPr="00681ECE">
        <w:rPr>
          <w:rFonts w:ascii="Arial Narrow" w:hAnsi="Arial Narrow"/>
          <w:sz w:val="24"/>
          <w:szCs w:val="24"/>
        </w:rPr>
        <w:t>Large</w:t>
      </w:r>
      <w:proofErr w:type="spellEnd"/>
      <w:r w:rsidRPr="00681ECE">
        <w:rPr>
          <w:rFonts w:ascii="Arial Narrow" w:hAnsi="Arial Narrow"/>
          <w:sz w:val="24"/>
          <w:szCs w:val="24"/>
        </w:rPr>
        <w:t xml:space="preserve"> </w:t>
      </w:r>
      <w:proofErr w:type="spellStart"/>
      <w:r w:rsidRPr="00681ECE">
        <w:rPr>
          <w:rFonts w:ascii="Arial Narrow" w:hAnsi="Arial Narrow"/>
          <w:sz w:val="24"/>
          <w:szCs w:val="24"/>
        </w:rPr>
        <w:t>Solution</w:t>
      </w:r>
      <w:proofErr w:type="spellEnd"/>
      <w:r w:rsidRPr="00681ECE">
        <w:rPr>
          <w:rFonts w:ascii="Arial Narrow" w:hAnsi="Arial Narrow"/>
          <w:sz w:val="24"/>
          <w:szCs w:val="24"/>
        </w:rPr>
        <w:t xml:space="preserve"> </w:t>
      </w:r>
      <w:proofErr w:type="spellStart"/>
      <w:r w:rsidRPr="00681ECE">
        <w:rPr>
          <w:rFonts w:ascii="Arial Narrow" w:hAnsi="Arial Narrow"/>
          <w:sz w:val="24"/>
          <w:szCs w:val="24"/>
        </w:rPr>
        <w:t>Partners</w:t>
      </w:r>
      <w:proofErr w:type="spellEnd"/>
      <w:r w:rsidRPr="00681ECE">
        <w:rPr>
          <w:rFonts w:ascii="Arial Narrow" w:hAnsi="Arial Narrow"/>
          <w:sz w:val="24"/>
          <w:szCs w:val="24"/>
        </w:rPr>
        <w:t>), anteriormente denominados LAR (</w:t>
      </w:r>
      <w:proofErr w:type="spellStart"/>
      <w:r w:rsidRPr="00681ECE">
        <w:rPr>
          <w:rFonts w:ascii="Arial Narrow" w:hAnsi="Arial Narrow"/>
          <w:sz w:val="24"/>
          <w:szCs w:val="24"/>
        </w:rPr>
        <w:t>Large</w:t>
      </w:r>
      <w:proofErr w:type="spellEnd"/>
      <w:r w:rsidRPr="00681ECE">
        <w:rPr>
          <w:rFonts w:ascii="Arial Narrow" w:hAnsi="Arial Narrow"/>
          <w:sz w:val="24"/>
          <w:szCs w:val="24"/>
        </w:rPr>
        <w:t xml:space="preserve"> </w:t>
      </w:r>
      <w:proofErr w:type="spellStart"/>
      <w:r w:rsidRPr="00681ECE">
        <w:rPr>
          <w:rFonts w:ascii="Arial Narrow" w:hAnsi="Arial Narrow"/>
          <w:sz w:val="24"/>
          <w:szCs w:val="24"/>
        </w:rPr>
        <w:t>Account</w:t>
      </w:r>
      <w:proofErr w:type="spellEnd"/>
      <w:r w:rsidRPr="00681ECE">
        <w:rPr>
          <w:rFonts w:ascii="Arial Narrow" w:hAnsi="Arial Narrow"/>
          <w:sz w:val="24"/>
          <w:szCs w:val="24"/>
        </w:rPr>
        <w:t xml:space="preserve"> </w:t>
      </w:r>
      <w:proofErr w:type="spellStart"/>
      <w:r w:rsidRPr="00681ECE">
        <w:rPr>
          <w:rFonts w:ascii="Arial Narrow" w:hAnsi="Arial Narrow"/>
          <w:sz w:val="24"/>
          <w:szCs w:val="24"/>
        </w:rPr>
        <w:t>Reseller</w:t>
      </w:r>
      <w:proofErr w:type="spellEnd"/>
      <w:r w:rsidRPr="00681ECE">
        <w:rPr>
          <w:rFonts w:ascii="Arial Narrow" w:hAnsi="Arial Narrow"/>
          <w:sz w:val="24"/>
          <w:szCs w:val="24"/>
        </w:rPr>
        <w:t xml:space="preserve">). São as empresas habilitadas para tais contratos de licenciamento, e que se encontram aqui listadas: </w:t>
      </w:r>
      <w:hyperlink r:id="rId11" w:history="1">
        <w:r w:rsidRPr="00681ECE">
          <w:rPr>
            <w:rStyle w:val="Hyperlink"/>
            <w:rFonts w:ascii="Arial Narrow" w:hAnsi="Arial Narrow"/>
            <w:sz w:val="24"/>
            <w:szCs w:val="24"/>
          </w:rPr>
          <w:t>https://partner.microsoft.com/pt-br/licensing/Parceiros%20LSP</w:t>
        </w:r>
      </w:hyperlink>
      <w:r w:rsidRPr="00681ECE">
        <w:rPr>
          <w:rFonts w:ascii="Arial Narrow" w:hAnsi="Arial Narrow"/>
          <w:sz w:val="24"/>
          <w:szCs w:val="24"/>
        </w:rPr>
        <w:t>. O que garante ampla transparência e condições iguais de competição entre os parceiros.</w:t>
      </w:r>
    </w:p>
    <w:p w14:paraId="1A7DE242" w14:textId="77777777" w:rsidR="000337B7" w:rsidRPr="00681ECE" w:rsidRDefault="000337B7" w:rsidP="00681ECE">
      <w:pPr>
        <w:jc w:val="both"/>
        <w:rPr>
          <w:rFonts w:ascii="Arial Narrow" w:hAnsi="Arial Narrow"/>
          <w:sz w:val="24"/>
          <w:szCs w:val="24"/>
        </w:rPr>
      </w:pPr>
      <w:r w:rsidRPr="00681ECE">
        <w:rPr>
          <w:rFonts w:ascii="Arial Narrow" w:hAnsi="Arial Narrow"/>
          <w:sz w:val="24"/>
          <w:szCs w:val="24"/>
        </w:rPr>
        <w:t>É importante ressaltar que essas são as informações sobre licenciamento comercial e qualificação dos parceiros LSP da Microsoft. O critério de definição dos parceiros, observando as regras da Microsoft, é exclusivo do cliente.</w:t>
      </w:r>
    </w:p>
    <w:p w14:paraId="26C10893" w14:textId="77777777" w:rsidR="000337B7" w:rsidRPr="00681ECE" w:rsidRDefault="000337B7" w:rsidP="00681ECE">
      <w:pPr>
        <w:jc w:val="both"/>
        <w:rPr>
          <w:rFonts w:ascii="Arial Narrow" w:hAnsi="Arial Narrow"/>
          <w:sz w:val="24"/>
          <w:szCs w:val="24"/>
        </w:rPr>
      </w:pPr>
      <w:r w:rsidRPr="00681ECE">
        <w:rPr>
          <w:rFonts w:ascii="Arial Narrow" w:hAnsi="Arial Narrow"/>
          <w:sz w:val="24"/>
          <w:szCs w:val="24"/>
        </w:rPr>
        <w:t>Também cabe informar que quanto à participação nos certames públicos, informamos que para se garantir as mesmas condições de participação a todos as revendas, a Microsoft segue uma política de isonomia de canais, que prevê que todas as empresas parceiras terão as mesmas condições de participação no certame licitatório, sem qualquer privilégio, de qualquer natureza, a parceiro local ou específico. Isso implica em respeito às regras concorrenciais e competição saudável no mercado, além de cumprimento aos princípios da economicidade e competividade previstos pela legislação vigente, não estabelecendo qualquer restrição à concorrência ou participação em certames, mas sim a ampla concorrência, com a necessária capacitação ao correto atendimento à Administração e aos interesses públicos.</w:t>
      </w:r>
    </w:p>
    <w:p w14:paraId="2C1E3F58" w14:textId="552D219A" w:rsidR="000337B7" w:rsidRDefault="000337B7" w:rsidP="00932BF2">
      <w:pPr>
        <w:pStyle w:val="xmsolistparagraph"/>
        <w:shd w:val="clear" w:color="auto" w:fill="FFFFFF"/>
        <w:spacing w:before="0" w:beforeAutospacing="0" w:after="0" w:afterAutospacing="0"/>
        <w:jc w:val="both"/>
        <w:rPr>
          <w:rFonts w:ascii="Arial Narrow" w:hAnsi="Arial Narrow"/>
          <w:b/>
          <w:bCs/>
          <w:color w:val="000000"/>
        </w:rPr>
      </w:pPr>
    </w:p>
    <w:p w14:paraId="3F6EF340" w14:textId="1E76C414" w:rsidR="00681ECE" w:rsidRDefault="00681ECE" w:rsidP="00932BF2">
      <w:pPr>
        <w:pStyle w:val="xmsolistparagraph"/>
        <w:shd w:val="clear" w:color="auto" w:fill="FFFFFF"/>
        <w:spacing w:before="0" w:beforeAutospacing="0" w:after="0" w:afterAutospacing="0"/>
        <w:jc w:val="both"/>
        <w:rPr>
          <w:rFonts w:ascii="Arial Narrow" w:hAnsi="Arial Narrow"/>
          <w:b/>
          <w:bCs/>
          <w:color w:val="000000"/>
        </w:rPr>
      </w:pPr>
    </w:p>
    <w:p w14:paraId="4D4D0756" w14:textId="1F1F4071" w:rsidR="00681ECE" w:rsidRDefault="00681ECE" w:rsidP="00932BF2">
      <w:pPr>
        <w:pStyle w:val="xmsolistparagraph"/>
        <w:shd w:val="clear" w:color="auto" w:fill="FFFFFF"/>
        <w:spacing w:before="0" w:beforeAutospacing="0" w:after="0" w:afterAutospacing="0"/>
        <w:jc w:val="both"/>
        <w:rPr>
          <w:rFonts w:ascii="Arial Narrow" w:hAnsi="Arial Narrow"/>
          <w:b/>
          <w:bCs/>
          <w:color w:val="000000"/>
        </w:rPr>
      </w:pPr>
    </w:p>
    <w:p w14:paraId="0CF7EC7F" w14:textId="1E387584" w:rsidR="00681ECE" w:rsidRDefault="00681ECE" w:rsidP="00932BF2">
      <w:pPr>
        <w:pStyle w:val="xmsolistparagraph"/>
        <w:shd w:val="clear" w:color="auto" w:fill="FFFFFF"/>
        <w:spacing w:before="0" w:beforeAutospacing="0" w:after="0" w:afterAutospacing="0"/>
        <w:jc w:val="both"/>
        <w:rPr>
          <w:rFonts w:ascii="Arial Narrow" w:hAnsi="Arial Narrow"/>
          <w:b/>
          <w:bCs/>
          <w:color w:val="000000"/>
        </w:rPr>
      </w:pPr>
    </w:p>
    <w:p w14:paraId="77011753" w14:textId="20C87411" w:rsidR="00681ECE" w:rsidRDefault="00681ECE" w:rsidP="00932BF2">
      <w:pPr>
        <w:pStyle w:val="xmsolistparagraph"/>
        <w:shd w:val="clear" w:color="auto" w:fill="FFFFFF"/>
        <w:spacing w:before="0" w:beforeAutospacing="0" w:after="0" w:afterAutospacing="0"/>
        <w:jc w:val="both"/>
        <w:rPr>
          <w:rFonts w:ascii="Arial Narrow" w:hAnsi="Arial Narrow"/>
          <w:b/>
          <w:bCs/>
          <w:color w:val="000000"/>
        </w:rPr>
      </w:pPr>
    </w:p>
    <w:p w14:paraId="4519727D" w14:textId="7C49F5BB" w:rsidR="00681ECE" w:rsidRDefault="00681ECE" w:rsidP="00932BF2">
      <w:pPr>
        <w:pStyle w:val="xmsolistparagraph"/>
        <w:shd w:val="clear" w:color="auto" w:fill="FFFFFF"/>
        <w:spacing w:before="0" w:beforeAutospacing="0" w:after="0" w:afterAutospacing="0"/>
        <w:jc w:val="both"/>
        <w:rPr>
          <w:rFonts w:ascii="Arial Narrow" w:hAnsi="Arial Narrow"/>
          <w:b/>
          <w:bCs/>
          <w:color w:val="000000"/>
        </w:rPr>
      </w:pPr>
    </w:p>
    <w:p w14:paraId="3C64FC59" w14:textId="0931AE17" w:rsidR="00681ECE" w:rsidRDefault="00681ECE" w:rsidP="00932BF2">
      <w:pPr>
        <w:pStyle w:val="xmsolistparagraph"/>
        <w:shd w:val="clear" w:color="auto" w:fill="FFFFFF"/>
        <w:spacing w:before="0" w:beforeAutospacing="0" w:after="0" w:afterAutospacing="0"/>
        <w:jc w:val="both"/>
        <w:rPr>
          <w:rFonts w:ascii="Arial Narrow" w:hAnsi="Arial Narrow"/>
          <w:b/>
          <w:bCs/>
          <w:color w:val="000000"/>
        </w:rPr>
      </w:pPr>
    </w:p>
    <w:p w14:paraId="51F04DF8" w14:textId="0AEC03FB" w:rsidR="00681ECE" w:rsidRDefault="00681ECE" w:rsidP="00932BF2">
      <w:pPr>
        <w:pStyle w:val="xmsolistparagraph"/>
        <w:shd w:val="clear" w:color="auto" w:fill="FFFFFF"/>
        <w:spacing w:before="0" w:beforeAutospacing="0" w:after="0" w:afterAutospacing="0"/>
        <w:jc w:val="both"/>
        <w:rPr>
          <w:rFonts w:ascii="Arial Narrow" w:hAnsi="Arial Narrow"/>
          <w:b/>
          <w:bCs/>
          <w:color w:val="000000"/>
        </w:rPr>
      </w:pPr>
    </w:p>
    <w:p w14:paraId="1B616258" w14:textId="77777777" w:rsidR="00681ECE" w:rsidRDefault="00681ECE" w:rsidP="00932BF2">
      <w:pPr>
        <w:pStyle w:val="xmsolistparagraph"/>
        <w:shd w:val="clear" w:color="auto" w:fill="FFFFFF"/>
        <w:spacing w:before="0" w:beforeAutospacing="0" w:after="0" w:afterAutospacing="0"/>
        <w:jc w:val="both"/>
        <w:rPr>
          <w:rFonts w:ascii="Arial Narrow" w:hAnsi="Arial Narrow"/>
          <w:b/>
          <w:bCs/>
          <w:color w:val="000000"/>
        </w:rPr>
      </w:pPr>
    </w:p>
    <w:p w14:paraId="7915329C" w14:textId="77777777" w:rsidR="00351C35" w:rsidRPr="0008050B" w:rsidRDefault="00351C35" w:rsidP="00351C35">
      <w:pPr>
        <w:shd w:val="clear" w:color="auto" w:fill="FFFFFF"/>
        <w:spacing w:after="0" w:line="240" w:lineRule="auto"/>
        <w:jc w:val="both"/>
        <w:rPr>
          <w:rFonts w:ascii="Arial Narrow" w:hAnsi="Arial Narrow" w:cs="Arial"/>
          <w:b/>
          <w:bCs/>
          <w:color w:val="222222"/>
          <w:sz w:val="24"/>
          <w:szCs w:val="24"/>
          <w:shd w:val="clear" w:color="auto" w:fill="FFFFFF"/>
        </w:rPr>
      </w:pPr>
      <w:r w:rsidRPr="0008050B">
        <w:rPr>
          <w:rFonts w:ascii="Arial Narrow" w:hAnsi="Arial Narrow" w:cs="Arial"/>
          <w:b/>
          <w:bCs/>
          <w:color w:val="222222"/>
          <w:sz w:val="24"/>
          <w:szCs w:val="24"/>
          <w:shd w:val="clear" w:color="auto" w:fill="FFFFFF"/>
        </w:rPr>
        <w:t>Exemplos das diferenças entre os contratos.</w:t>
      </w:r>
    </w:p>
    <w:p w14:paraId="3D4372BF" w14:textId="77777777" w:rsidR="00351C35" w:rsidRPr="0008050B" w:rsidRDefault="00351C35" w:rsidP="00351C35">
      <w:pPr>
        <w:shd w:val="clear" w:color="auto" w:fill="FFFFFF"/>
        <w:spacing w:after="0" w:line="240" w:lineRule="auto"/>
        <w:jc w:val="both"/>
        <w:rPr>
          <w:rFonts w:ascii="Arial Narrow" w:hAnsi="Arial Narrow" w:cs="Arial"/>
          <w:b/>
          <w:bCs/>
          <w:color w:val="222222"/>
          <w:shd w:val="clear" w:color="auto" w:fill="FFFFFF"/>
        </w:rPr>
      </w:pPr>
    </w:p>
    <w:p w14:paraId="5F95EEC3" w14:textId="77777777" w:rsidR="00351C35" w:rsidRDefault="00351C35" w:rsidP="00351C35">
      <w:pPr>
        <w:shd w:val="clear" w:color="auto" w:fill="FFFFFF"/>
        <w:spacing w:after="0" w:line="240" w:lineRule="auto"/>
        <w:jc w:val="both"/>
        <w:rPr>
          <w:rFonts w:ascii="Arial Narrow" w:hAnsi="Arial Narrow" w:cs="Arial"/>
          <w:color w:val="222222"/>
        </w:rPr>
      </w:pPr>
      <w:r>
        <w:rPr>
          <w:rFonts w:ascii="Arial Narrow" w:hAnsi="Arial Narrow" w:cs="Arial"/>
          <w:noProof/>
          <w:color w:val="222222"/>
          <w:lang w:eastAsia="pt-BR"/>
        </w:rPr>
        <w:drawing>
          <wp:inline distT="0" distB="0" distL="0" distR="0" wp14:anchorId="15F5A5D4" wp14:editId="0BE77A94">
            <wp:extent cx="5400040" cy="36385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nam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3638550"/>
                    </a:xfrm>
                    <a:prstGeom prst="rect">
                      <a:avLst/>
                    </a:prstGeom>
                  </pic:spPr>
                </pic:pic>
              </a:graphicData>
            </a:graphic>
          </wp:inline>
        </w:drawing>
      </w:r>
    </w:p>
    <w:p w14:paraId="09D5227E" w14:textId="134B6B74" w:rsidR="00F53877" w:rsidRDefault="00F53877">
      <w:pPr>
        <w:rPr>
          <w:rFonts w:ascii="Arial Narrow" w:hAnsi="Arial Narrow"/>
          <w:sz w:val="24"/>
          <w:szCs w:val="24"/>
        </w:rPr>
      </w:pPr>
    </w:p>
    <w:p w14:paraId="7F5E6A7F" w14:textId="77777777" w:rsidR="00693691" w:rsidRPr="002826C1" w:rsidRDefault="00693691" w:rsidP="00693691">
      <w:pPr>
        <w:pStyle w:val="xxmsonormal"/>
        <w:shd w:val="clear" w:color="auto" w:fill="FFFFFF"/>
        <w:spacing w:before="0" w:beforeAutospacing="0" w:after="0" w:afterAutospacing="0"/>
        <w:rPr>
          <w:rFonts w:ascii="Arial Narrow" w:hAnsi="Arial Narrow" w:cs="Calibri"/>
          <w:color w:val="201F1E"/>
        </w:rPr>
      </w:pPr>
      <w:r w:rsidRPr="002826C1">
        <w:rPr>
          <w:rFonts w:ascii="Arial Narrow" w:hAnsi="Arial Narrow"/>
        </w:rPr>
        <w:t xml:space="preserve">Questionamento 1: </w:t>
      </w:r>
      <w:r w:rsidRPr="002826C1">
        <w:rPr>
          <w:rFonts w:ascii="Arial Narrow" w:hAnsi="Arial Narrow" w:cs="Calibri"/>
          <w:color w:val="201F1E"/>
          <w:bdr w:val="none" w:sz="0" w:space="0" w:color="auto" w:frame="1"/>
        </w:rPr>
        <w:t>O pedido será realizado para um Único CNPJ ou as notas virão em vários </w:t>
      </w:r>
      <w:proofErr w:type="spellStart"/>
      <w:r w:rsidRPr="002826C1">
        <w:rPr>
          <w:rStyle w:val="xspelle"/>
          <w:rFonts w:ascii="Arial Narrow" w:hAnsi="Arial Narrow" w:cs="Calibri"/>
          <w:color w:val="201F1E"/>
          <w:bdr w:val="none" w:sz="0" w:space="0" w:color="auto" w:frame="1"/>
        </w:rPr>
        <w:t>CNPJ’s</w:t>
      </w:r>
      <w:proofErr w:type="spellEnd"/>
      <w:r w:rsidRPr="002826C1">
        <w:rPr>
          <w:rFonts w:ascii="Arial Narrow" w:hAnsi="Arial Narrow" w:cs="Calibri"/>
          <w:color w:val="201F1E"/>
          <w:bdr w:val="none" w:sz="0" w:space="0" w:color="auto" w:frame="1"/>
        </w:rPr>
        <w:t> distintos?</w:t>
      </w:r>
    </w:p>
    <w:p w14:paraId="64288E9C" w14:textId="77777777" w:rsidR="00693691" w:rsidRPr="002826C1" w:rsidRDefault="00693691" w:rsidP="00693691">
      <w:pPr>
        <w:pStyle w:val="xxmsonormal"/>
        <w:shd w:val="clear" w:color="auto" w:fill="FFFFFF"/>
        <w:spacing w:before="0" w:beforeAutospacing="0" w:after="0" w:afterAutospacing="0"/>
        <w:rPr>
          <w:rFonts w:ascii="Arial Narrow" w:hAnsi="Arial Narrow" w:cs="Calibri"/>
          <w:color w:val="201F1E"/>
          <w:bdr w:val="none" w:sz="0" w:space="0" w:color="auto" w:frame="1"/>
        </w:rPr>
      </w:pPr>
      <w:r w:rsidRPr="002826C1">
        <w:rPr>
          <w:rFonts w:ascii="Arial Narrow" w:hAnsi="Arial Narrow" w:cs="Calibri"/>
          <w:color w:val="201F1E"/>
          <w:bdr w:val="none" w:sz="0" w:space="0" w:color="auto" w:frame="1"/>
        </w:rPr>
        <w:t xml:space="preserve"> RESPOSTA.: </w:t>
      </w:r>
    </w:p>
    <w:p w14:paraId="02F3D5E9" w14:textId="77777777" w:rsidR="00693691" w:rsidRPr="002826C1" w:rsidRDefault="00693691" w:rsidP="00693691">
      <w:pPr>
        <w:pStyle w:val="xxmsonormal"/>
        <w:shd w:val="clear" w:color="auto" w:fill="FFFFFF"/>
        <w:spacing w:before="0" w:beforeAutospacing="0" w:after="0" w:afterAutospacing="0"/>
        <w:rPr>
          <w:rFonts w:ascii="Arial Narrow" w:hAnsi="Arial Narrow" w:cs="Calibri"/>
          <w:color w:val="201F1E"/>
        </w:rPr>
      </w:pPr>
    </w:p>
    <w:p w14:paraId="5F61F9F3" w14:textId="3C06EE14" w:rsidR="00693691" w:rsidRPr="002826C1" w:rsidRDefault="00693691" w:rsidP="00693691">
      <w:pPr>
        <w:pStyle w:val="xxmsonormal"/>
        <w:shd w:val="clear" w:color="auto" w:fill="FFFFFF"/>
        <w:spacing w:before="0" w:beforeAutospacing="0" w:after="0" w:afterAutospacing="0"/>
        <w:rPr>
          <w:rFonts w:ascii="Arial Narrow" w:hAnsi="Arial Narrow" w:cs="Calibri"/>
          <w:color w:val="201F1E"/>
        </w:rPr>
      </w:pPr>
      <w:r w:rsidRPr="002826C1">
        <w:rPr>
          <w:rFonts w:ascii="Arial Narrow" w:hAnsi="Arial Narrow" w:cs="Calibri"/>
          <w:b/>
          <w:bCs/>
          <w:color w:val="201F1E"/>
          <w:bdr w:val="none" w:sz="0" w:space="0" w:color="auto" w:frame="1"/>
        </w:rPr>
        <w:t>ESCLARECIMENTO</w:t>
      </w:r>
    </w:p>
    <w:p w14:paraId="4CBEC2DC" w14:textId="77777777" w:rsidR="00693691" w:rsidRPr="002826C1" w:rsidRDefault="00693691" w:rsidP="00693691">
      <w:pPr>
        <w:pStyle w:val="xxmsonormal"/>
        <w:shd w:val="clear" w:color="auto" w:fill="FFFFFF"/>
        <w:spacing w:before="0" w:beforeAutospacing="0" w:after="0" w:afterAutospacing="0"/>
        <w:rPr>
          <w:rFonts w:ascii="Arial Narrow" w:hAnsi="Arial Narrow" w:cs="Calibri"/>
          <w:color w:val="201F1E"/>
        </w:rPr>
      </w:pPr>
      <w:r w:rsidRPr="002826C1">
        <w:rPr>
          <w:rFonts w:ascii="Arial Narrow" w:hAnsi="Arial Narrow" w:cs="Calibri"/>
          <w:color w:val="201F1E"/>
          <w:bdr w:val="none" w:sz="0" w:space="0" w:color="auto" w:frame="1"/>
        </w:rPr>
        <w:t>Referente ao item abaixo:</w:t>
      </w:r>
    </w:p>
    <w:p w14:paraId="4D464BC3" w14:textId="77777777" w:rsidR="00693691" w:rsidRPr="002826C1" w:rsidRDefault="00693691" w:rsidP="00693691">
      <w:pPr>
        <w:pStyle w:val="xxmsonormal"/>
        <w:shd w:val="clear" w:color="auto" w:fill="FFFFFF"/>
        <w:spacing w:before="0" w:beforeAutospacing="0" w:after="0" w:afterAutospacing="0"/>
        <w:rPr>
          <w:rFonts w:ascii="Arial Narrow" w:hAnsi="Arial Narrow" w:cs="Calibri"/>
          <w:color w:val="201F1E"/>
        </w:rPr>
      </w:pPr>
      <w:r w:rsidRPr="002826C1">
        <w:rPr>
          <w:rFonts w:ascii="Arial Narrow" w:eastAsiaTheme="minorHAnsi" w:hAnsi="Arial Narrow" w:cstheme="minorBidi"/>
          <w:noProof/>
          <w:lang w:eastAsia="en-US"/>
        </w:rPr>
        <w:drawing>
          <wp:inline distT="0" distB="0" distL="0" distR="0" wp14:anchorId="250E1AF8" wp14:editId="292D56B0">
            <wp:extent cx="5400040" cy="379730"/>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379730"/>
                    </a:xfrm>
                    <a:prstGeom prst="rect">
                      <a:avLst/>
                    </a:prstGeom>
                    <a:noFill/>
                    <a:ln>
                      <a:noFill/>
                    </a:ln>
                  </pic:spPr>
                </pic:pic>
              </a:graphicData>
            </a:graphic>
          </wp:inline>
        </w:drawing>
      </w:r>
    </w:p>
    <w:p w14:paraId="1CD54984" w14:textId="77777777" w:rsidR="00693691" w:rsidRPr="002826C1" w:rsidRDefault="00693691" w:rsidP="00693691">
      <w:pPr>
        <w:pStyle w:val="xxmsonormal"/>
        <w:shd w:val="clear" w:color="auto" w:fill="FFFFFF"/>
        <w:spacing w:before="0" w:beforeAutospacing="0" w:after="0" w:afterAutospacing="0"/>
        <w:rPr>
          <w:rFonts w:ascii="Arial Narrow" w:hAnsi="Arial Narrow" w:cs="Calibri"/>
          <w:color w:val="201F1E"/>
        </w:rPr>
      </w:pPr>
      <w:r w:rsidRPr="002826C1">
        <w:rPr>
          <w:rFonts w:ascii="Arial Narrow" w:hAnsi="Arial Narrow" w:cs="Calibri"/>
          <w:color w:val="201F1E"/>
          <w:bdr w:val="none" w:sz="0" w:space="0" w:color="auto" w:frame="1"/>
        </w:rPr>
        <w:t>Devemos considerar as licenças </w:t>
      </w:r>
      <w:proofErr w:type="spellStart"/>
      <w:r w:rsidRPr="002826C1">
        <w:rPr>
          <w:rStyle w:val="xspelle"/>
          <w:rFonts w:ascii="Arial Narrow" w:hAnsi="Arial Narrow" w:cs="Calibri"/>
          <w:color w:val="201F1E"/>
          <w:bdr w:val="none" w:sz="0" w:space="0" w:color="auto" w:frame="1"/>
        </w:rPr>
        <w:t>Faculty</w:t>
      </w:r>
      <w:proofErr w:type="spellEnd"/>
      <w:r w:rsidRPr="002826C1">
        <w:rPr>
          <w:rFonts w:ascii="Arial Narrow" w:hAnsi="Arial Narrow" w:cs="Calibri"/>
          <w:color w:val="201F1E"/>
          <w:bdr w:val="none" w:sz="0" w:space="0" w:color="auto" w:frame="1"/>
        </w:rPr>
        <w:t> ou </w:t>
      </w:r>
      <w:proofErr w:type="spellStart"/>
      <w:r w:rsidRPr="002826C1">
        <w:rPr>
          <w:rStyle w:val="xspelle"/>
          <w:rFonts w:ascii="Arial Narrow" w:hAnsi="Arial Narrow" w:cs="Calibri"/>
          <w:color w:val="201F1E"/>
          <w:bdr w:val="none" w:sz="0" w:space="0" w:color="auto" w:frame="1"/>
        </w:rPr>
        <w:t>Studant</w:t>
      </w:r>
      <w:proofErr w:type="spellEnd"/>
      <w:r w:rsidRPr="002826C1">
        <w:rPr>
          <w:rFonts w:ascii="Arial Narrow" w:hAnsi="Arial Narrow" w:cs="Calibri"/>
          <w:color w:val="201F1E"/>
          <w:bdr w:val="none" w:sz="0" w:space="0" w:color="auto" w:frame="1"/>
        </w:rPr>
        <w:t>?</w:t>
      </w:r>
    </w:p>
    <w:p w14:paraId="3D71FFFB" w14:textId="6CD5884F" w:rsidR="00693691" w:rsidRPr="00264A8B" w:rsidRDefault="00693691" w:rsidP="00693691">
      <w:pPr>
        <w:pStyle w:val="xxmsonormal"/>
        <w:shd w:val="clear" w:color="auto" w:fill="FFFFFF"/>
        <w:spacing w:before="0" w:beforeAutospacing="0" w:after="0" w:afterAutospacing="0"/>
        <w:rPr>
          <w:rFonts w:ascii="Arial Narrow" w:hAnsi="Arial Narrow" w:cs="Calibri"/>
          <w:color w:val="201F1E"/>
          <w:bdr w:val="none" w:sz="0" w:space="0" w:color="auto" w:frame="1"/>
        </w:rPr>
      </w:pPr>
      <w:r w:rsidRPr="002826C1">
        <w:rPr>
          <w:rFonts w:ascii="Arial Narrow" w:hAnsi="Arial Narrow" w:cs="Calibri"/>
          <w:color w:val="201F1E"/>
          <w:bdr w:val="none" w:sz="0" w:space="0" w:color="auto" w:frame="1"/>
        </w:rPr>
        <w:t> </w:t>
      </w:r>
      <w:r w:rsidRPr="00264A8B">
        <w:rPr>
          <w:rFonts w:ascii="Arial Narrow" w:hAnsi="Arial Narrow" w:cs="Calibri"/>
          <w:b/>
          <w:bCs/>
          <w:color w:val="201F1E"/>
          <w:bdr w:val="none" w:sz="0" w:space="0" w:color="auto" w:frame="1"/>
        </w:rPr>
        <w:t>RESPOSTA.:</w:t>
      </w:r>
      <w:r w:rsidR="00264A8B" w:rsidRPr="00264A8B">
        <w:rPr>
          <w:rFonts w:ascii="Arial Narrow" w:hAnsi="Arial Narrow" w:cs="Calibri"/>
          <w:b/>
          <w:bCs/>
          <w:color w:val="201F1E"/>
          <w:bdr w:val="none" w:sz="0" w:space="0" w:color="auto" w:frame="1"/>
        </w:rPr>
        <w:t xml:space="preserve"> </w:t>
      </w:r>
      <w:bookmarkStart w:id="0" w:name="_GoBack"/>
      <w:r w:rsidR="00264A8B" w:rsidRPr="00264A8B">
        <w:rPr>
          <w:rFonts w:ascii="Arial Narrow" w:hAnsi="Arial Narrow" w:cs="Calibri"/>
          <w:color w:val="201F1E"/>
          <w:bdr w:val="none" w:sz="0" w:space="0" w:color="auto" w:frame="1"/>
        </w:rPr>
        <w:t>Será realizado em único CNPJ.</w:t>
      </w:r>
    </w:p>
    <w:bookmarkEnd w:id="0"/>
    <w:p w14:paraId="59760E68" w14:textId="77777777" w:rsidR="00693691" w:rsidRPr="002826C1" w:rsidRDefault="00693691" w:rsidP="00693691">
      <w:pPr>
        <w:pStyle w:val="xxmsonormal"/>
        <w:shd w:val="clear" w:color="auto" w:fill="FFFFFF"/>
        <w:spacing w:before="0" w:beforeAutospacing="0" w:after="0" w:afterAutospacing="0"/>
        <w:rPr>
          <w:rFonts w:ascii="Arial Narrow" w:hAnsi="Arial Narrow" w:cs="Calibri"/>
          <w:color w:val="201F1E"/>
        </w:rPr>
      </w:pPr>
    </w:p>
    <w:p w14:paraId="21139DE6" w14:textId="6B7E8B60" w:rsidR="00693691" w:rsidRPr="002826C1" w:rsidRDefault="00693691" w:rsidP="00693691">
      <w:pPr>
        <w:pStyle w:val="xxmsonormal"/>
        <w:shd w:val="clear" w:color="auto" w:fill="FFFFFF"/>
        <w:spacing w:before="0" w:beforeAutospacing="0" w:after="0" w:afterAutospacing="0"/>
        <w:rPr>
          <w:rFonts w:ascii="Arial Narrow" w:hAnsi="Arial Narrow" w:cs="Calibri"/>
          <w:color w:val="201F1E"/>
        </w:rPr>
      </w:pPr>
      <w:r w:rsidRPr="002826C1">
        <w:rPr>
          <w:rFonts w:ascii="Arial Narrow" w:hAnsi="Arial Narrow" w:cs="Calibri"/>
          <w:b/>
          <w:bCs/>
          <w:color w:val="201F1E"/>
          <w:bdr w:val="none" w:sz="0" w:space="0" w:color="auto" w:frame="1"/>
        </w:rPr>
        <w:t>ESCLARECIMENTO</w:t>
      </w:r>
    </w:p>
    <w:p w14:paraId="089D4C89" w14:textId="77777777" w:rsidR="00693691" w:rsidRPr="002826C1" w:rsidRDefault="00693691" w:rsidP="00693691">
      <w:pPr>
        <w:pStyle w:val="xxmsonormal"/>
        <w:shd w:val="clear" w:color="auto" w:fill="FFFFFF"/>
        <w:spacing w:before="0" w:beforeAutospacing="0" w:after="0" w:afterAutospacing="0"/>
        <w:rPr>
          <w:rFonts w:ascii="Arial Narrow" w:hAnsi="Arial Narrow" w:cs="Calibri"/>
          <w:color w:val="201F1E"/>
        </w:rPr>
      </w:pPr>
      <w:r w:rsidRPr="002826C1">
        <w:rPr>
          <w:rFonts w:ascii="Arial Narrow" w:hAnsi="Arial Narrow" w:cs="Calibri"/>
          <w:color w:val="201F1E"/>
          <w:bdr w:val="none" w:sz="0" w:space="0" w:color="auto" w:frame="1"/>
        </w:rPr>
        <w:t>Referente ao item abaixo:</w:t>
      </w:r>
    </w:p>
    <w:p w14:paraId="158DDE4B" w14:textId="77777777" w:rsidR="00693691" w:rsidRPr="002826C1" w:rsidRDefault="00693691" w:rsidP="00693691">
      <w:pPr>
        <w:pStyle w:val="xxmsonormal"/>
        <w:shd w:val="clear" w:color="auto" w:fill="FFFFFF"/>
        <w:spacing w:before="0" w:beforeAutospacing="0" w:after="0" w:afterAutospacing="0"/>
        <w:rPr>
          <w:rFonts w:ascii="Arial Narrow" w:hAnsi="Arial Narrow" w:cs="Calibri"/>
          <w:color w:val="201F1E"/>
        </w:rPr>
      </w:pPr>
      <w:r w:rsidRPr="002826C1">
        <w:rPr>
          <w:rFonts w:ascii="Arial Narrow" w:eastAsiaTheme="minorHAnsi" w:hAnsi="Arial Narrow" w:cstheme="minorBidi"/>
          <w:noProof/>
          <w:lang w:eastAsia="en-US"/>
        </w:rPr>
        <w:drawing>
          <wp:inline distT="0" distB="0" distL="0" distR="0" wp14:anchorId="4B63796D" wp14:editId="42361C1F">
            <wp:extent cx="5400040" cy="2055495"/>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055495"/>
                    </a:xfrm>
                    <a:prstGeom prst="rect">
                      <a:avLst/>
                    </a:prstGeom>
                    <a:noFill/>
                    <a:ln>
                      <a:noFill/>
                    </a:ln>
                  </pic:spPr>
                </pic:pic>
              </a:graphicData>
            </a:graphic>
          </wp:inline>
        </w:drawing>
      </w:r>
    </w:p>
    <w:p w14:paraId="7E959166" w14:textId="77777777" w:rsidR="00693691" w:rsidRPr="002826C1" w:rsidRDefault="00693691" w:rsidP="00693691">
      <w:pPr>
        <w:pStyle w:val="xxmsonormal"/>
        <w:shd w:val="clear" w:color="auto" w:fill="FFFFFF"/>
        <w:spacing w:before="0" w:beforeAutospacing="0" w:after="0" w:afterAutospacing="0"/>
        <w:rPr>
          <w:rFonts w:ascii="Arial Narrow" w:hAnsi="Arial Narrow" w:cs="Calibri"/>
          <w:color w:val="201F1E"/>
        </w:rPr>
      </w:pPr>
      <w:r w:rsidRPr="002826C1">
        <w:rPr>
          <w:rFonts w:ascii="Arial Narrow" w:hAnsi="Arial Narrow" w:cs="Calibri"/>
          <w:color w:val="201F1E"/>
          <w:bdr w:val="none" w:sz="0" w:space="0" w:color="auto" w:frame="1"/>
        </w:rPr>
        <w:lastRenderedPageBreak/>
        <w:t>Entendemos que o SESI/DN é ciente de que caso não seja feita a aquisição total em um primeiro pedido, os demais pedidos serão cobrados como Pro-Rata não sendo possível a entrega do mesmo por 12 meses.</w:t>
      </w:r>
    </w:p>
    <w:p w14:paraId="4AF7F210" w14:textId="77777777" w:rsidR="00693691" w:rsidRPr="002826C1" w:rsidRDefault="00693691" w:rsidP="00693691">
      <w:pPr>
        <w:jc w:val="both"/>
        <w:rPr>
          <w:rFonts w:ascii="Arial Narrow" w:hAnsi="Arial Narrow"/>
          <w:b/>
          <w:bCs/>
          <w:sz w:val="24"/>
          <w:szCs w:val="24"/>
        </w:rPr>
      </w:pPr>
      <w:r w:rsidRPr="002826C1">
        <w:rPr>
          <w:rFonts w:ascii="Arial Narrow" w:hAnsi="Arial Narrow"/>
          <w:b/>
          <w:bCs/>
          <w:sz w:val="24"/>
          <w:szCs w:val="24"/>
        </w:rPr>
        <w:t xml:space="preserve">RESPOSTA.: </w:t>
      </w:r>
      <w:r w:rsidRPr="00E65DFE">
        <w:rPr>
          <w:rFonts w:ascii="Arial Narrow" w:hAnsi="Arial Narrow"/>
          <w:bCs/>
          <w:sz w:val="24"/>
          <w:szCs w:val="24"/>
        </w:rPr>
        <w:t>Sim</w:t>
      </w:r>
      <w:r>
        <w:rPr>
          <w:rFonts w:ascii="Arial Narrow" w:hAnsi="Arial Narrow"/>
          <w:bCs/>
          <w:sz w:val="24"/>
          <w:szCs w:val="24"/>
        </w:rPr>
        <w:t>, o entendimento está correto.</w:t>
      </w:r>
    </w:p>
    <w:p w14:paraId="1D827120" w14:textId="4B59AF18" w:rsidR="00681ECE" w:rsidRPr="00681ECE" w:rsidRDefault="00681ECE" w:rsidP="00681ECE">
      <w:pPr>
        <w:shd w:val="clear" w:color="auto" w:fill="FFFFFF"/>
        <w:jc w:val="center"/>
        <w:textAlignment w:val="baseline"/>
        <w:rPr>
          <w:rFonts w:ascii="Arial Narrow" w:hAnsi="Arial Narrow"/>
          <w:b/>
          <w:sz w:val="24"/>
          <w:szCs w:val="24"/>
        </w:rPr>
      </w:pPr>
      <w:r w:rsidRPr="00681ECE">
        <w:rPr>
          <w:rFonts w:ascii="Arial Narrow" w:hAnsi="Arial Narrow"/>
          <w:b/>
          <w:sz w:val="24"/>
          <w:szCs w:val="24"/>
        </w:rPr>
        <w:t>Para todos os efeitos este documento passa a integrar o edital em referência.</w:t>
      </w:r>
    </w:p>
    <w:p w14:paraId="0AF15EFD" w14:textId="77777777" w:rsidR="00693691" w:rsidRDefault="00681ECE" w:rsidP="00681ECE">
      <w:pPr>
        <w:shd w:val="clear" w:color="auto" w:fill="FFFFFF"/>
        <w:tabs>
          <w:tab w:val="left" w:pos="3622"/>
        </w:tabs>
        <w:jc w:val="right"/>
        <w:rPr>
          <w:rFonts w:ascii="Arial Narrow" w:hAnsi="Arial Narrow"/>
          <w:color w:val="222222"/>
          <w:sz w:val="24"/>
          <w:szCs w:val="24"/>
          <w:shd w:val="clear" w:color="auto" w:fill="FFFFFF"/>
        </w:rPr>
      </w:pPr>
      <w:r w:rsidRPr="00681ECE">
        <w:rPr>
          <w:rFonts w:ascii="Arial Narrow" w:hAnsi="Arial Narrow"/>
          <w:color w:val="222222"/>
          <w:sz w:val="24"/>
          <w:szCs w:val="24"/>
          <w:shd w:val="clear" w:color="auto" w:fill="FFFFFF"/>
        </w:rPr>
        <w:tab/>
      </w:r>
    </w:p>
    <w:p w14:paraId="556D6174" w14:textId="70B5D676" w:rsidR="00681ECE" w:rsidRPr="00681ECE" w:rsidRDefault="00681ECE" w:rsidP="00681ECE">
      <w:pPr>
        <w:shd w:val="clear" w:color="auto" w:fill="FFFFFF"/>
        <w:tabs>
          <w:tab w:val="left" w:pos="3622"/>
        </w:tabs>
        <w:jc w:val="right"/>
        <w:rPr>
          <w:rFonts w:ascii="Arial Narrow" w:hAnsi="Arial Narrow"/>
          <w:sz w:val="24"/>
          <w:szCs w:val="24"/>
        </w:rPr>
      </w:pPr>
      <w:r w:rsidRPr="00681ECE">
        <w:rPr>
          <w:rFonts w:ascii="Arial Narrow" w:hAnsi="Arial Narrow"/>
          <w:sz w:val="24"/>
          <w:szCs w:val="24"/>
        </w:rPr>
        <w:t>Brasília, 15 de dezembro de 2020.</w:t>
      </w:r>
    </w:p>
    <w:p w14:paraId="6040954D" w14:textId="77777777" w:rsidR="00681ECE" w:rsidRPr="00681ECE" w:rsidRDefault="00681ECE" w:rsidP="00681ECE">
      <w:pPr>
        <w:shd w:val="clear" w:color="auto" w:fill="FFFFFF"/>
        <w:rPr>
          <w:rFonts w:ascii="Arial Narrow" w:hAnsi="Arial Narrow"/>
          <w:color w:val="222222"/>
          <w:sz w:val="24"/>
          <w:szCs w:val="24"/>
        </w:rPr>
      </w:pPr>
    </w:p>
    <w:p w14:paraId="28AC95F9" w14:textId="77777777" w:rsidR="00681ECE" w:rsidRPr="00681ECE" w:rsidRDefault="00681ECE" w:rsidP="00681ECE">
      <w:pPr>
        <w:jc w:val="center"/>
        <w:rPr>
          <w:rFonts w:ascii="Arial Narrow" w:hAnsi="Arial Narrow"/>
          <w:sz w:val="24"/>
          <w:szCs w:val="24"/>
        </w:rPr>
      </w:pPr>
      <w:r w:rsidRPr="00681ECE">
        <w:rPr>
          <w:rFonts w:ascii="Arial Narrow" w:hAnsi="Arial Narrow"/>
          <w:sz w:val="24"/>
          <w:szCs w:val="24"/>
        </w:rPr>
        <w:t>___________________________________</w:t>
      </w:r>
    </w:p>
    <w:p w14:paraId="0002339F" w14:textId="77777777" w:rsidR="00681ECE" w:rsidRPr="00681ECE" w:rsidRDefault="00681ECE" w:rsidP="00681ECE">
      <w:pPr>
        <w:jc w:val="center"/>
        <w:rPr>
          <w:rFonts w:ascii="Arial Narrow" w:hAnsi="Arial Narrow"/>
          <w:sz w:val="24"/>
          <w:szCs w:val="24"/>
        </w:rPr>
      </w:pPr>
      <w:r w:rsidRPr="00681ECE">
        <w:rPr>
          <w:rFonts w:ascii="Arial Narrow" w:hAnsi="Arial Narrow"/>
          <w:sz w:val="24"/>
          <w:szCs w:val="24"/>
        </w:rPr>
        <w:t>Comissão Permanente de Licitação - CPL</w:t>
      </w:r>
    </w:p>
    <w:p w14:paraId="642FEC20" w14:textId="77777777" w:rsidR="00681ECE" w:rsidRPr="00255E99" w:rsidRDefault="00681ECE">
      <w:pPr>
        <w:rPr>
          <w:rFonts w:ascii="Arial Narrow" w:hAnsi="Arial Narrow"/>
          <w:sz w:val="24"/>
          <w:szCs w:val="24"/>
        </w:rPr>
      </w:pPr>
    </w:p>
    <w:sectPr w:rsidR="00681ECE" w:rsidRPr="00255E99" w:rsidSect="00681ECE">
      <w:headerReference w:type="default" r:id="rId15"/>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E498F" w14:textId="77777777" w:rsidR="0021207C" w:rsidRDefault="0021207C" w:rsidP="00255E99">
      <w:pPr>
        <w:spacing w:after="0" w:line="240" w:lineRule="auto"/>
      </w:pPr>
      <w:r>
        <w:separator/>
      </w:r>
    </w:p>
  </w:endnote>
  <w:endnote w:type="continuationSeparator" w:id="0">
    <w:p w14:paraId="2E21F1C3" w14:textId="77777777" w:rsidR="0021207C" w:rsidRDefault="0021207C" w:rsidP="00255E99">
      <w:pPr>
        <w:spacing w:after="0" w:line="240" w:lineRule="auto"/>
      </w:pPr>
      <w:r>
        <w:continuationSeparator/>
      </w:r>
    </w:p>
  </w:endnote>
  <w:endnote w:type="continuationNotice" w:id="1">
    <w:p w14:paraId="4E302D93" w14:textId="77777777" w:rsidR="0021207C" w:rsidRDefault="00212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Univers"/>
    <w:panose1 w:val="02020603050405020304"/>
    <w:charset w:val="00"/>
    <w:family w:val="roman"/>
    <w:pitch w:val="variable"/>
    <w:sig w:usb0="E0002AFF" w:usb1="C0007843" w:usb2="00000009" w:usb3="00000000" w:csb0="000001FF" w:csb1="00000000"/>
  </w:font>
  <w:font w:name="Calibri">
    <w:altName w:val="Century Gothic"/>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6B902" w14:textId="77777777" w:rsidR="0021207C" w:rsidRDefault="0021207C" w:rsidP="00255E99">
      <w:pPr>
        <w:spacing w:after="0" w:line="240" w:lineRule="auto"/>
      </w:pPr>
      <w:r>
        <w:separator/>
      </w:r>
    </w:p>
  </w:footnote>
  <w:footnote w:type="continuationSeparator" w:id="0">
    <w:p w14:paraId="6B5B0001" w14:textId="77777777" w:rsidR="0021207C" w:rsidRDefault="0021207C" w:rsidP="00255E99">
      <w:pPr>
        <w:spacing w:after="0" w:line="240" w:lineRule="auto"/>
      </w:pPr>
      <w:r>
        <w:continuationSeparator/>
      </w:r>
    </w:p>
  </w:footnote>
  <w:footnote w:type="continuationNotice" w:id="1">
    <w:p w14:paraId="58882275" w14:textId="77777777" w:rsidR="0021207C" w:rsidRDefault="002120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F9D7F" w14:textId="77777777" w:rsidR="00255E99" w:rsidRDefault="00255E99" w:rsidP="00255E99">
    <w:pPr>
      <w:pStyle w:val="Cabealho"/>
      <w:jc w:val="center"/>
    </w:pPr>
    <w:r w:rsidRPr="000473B1">
      <w:rPr>
        <w:noProof/>
      </w:rPr>
      <w:drawing>
        <wp:inline distT="0" distB="0" distL="0" distR="0" wp14:anchorId="6F9A494B" wp14:editId="0CFABFC1">
          <wp:extent cx="1790700" cy="671774"/>
          <wp:effectExtent l="0" t="0" r="0" b="0"/>
          <wp:docPr id="4" name="Imagem 4" descr="H:\GECOM\z.CPL\Logos Sistema Indústria\Logo-SESI-Azul-P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COM\z.CPL\Logos Sistema Indústria\Logo-SESI-Azul-PF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088" cy="700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4717A"/>
    <w:multiLevelType w:val="hybridMultilevel"/>
    <w:tmpl w:val="3796DE52"/>
    <w:lvl w:ilvl="0" w:tplc="B888DFF0">
      <w:start w:val="1"/>
      <w:numFmt w:val="decimal"/>
      <w:lvlText w:val="%1."/>
      <w:lvlJc w:val="left"/>
      <w:pPr>
        <w:ind w:left="1539" w:hanging="405"/>
      </w:pPr>
      <w:rPr>
        <w:rFonts w:cs="Times New Roman"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453D05B7"/>
    <w:multiLevelType w:val="hybridMultilevel"/>
    <w:tmpl w:val="883A85B8"/>
    <w:lvl w:ilvl="0" w:tplc="B888DFF0">
      <w:start w:val="1"/>
      <w:numFmt w:val="decimal"/>
      <w:lvlText w:val="%1."/>
      <w:lvlJc w:val="left"/>
      <w:pPr>
        <w:ind w:left="972" w:hanging="405"/>
      </w:pPr>
      <w:rPr>
        <w:rFonts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76F912FE"/>
    <w:multiLevelType w:val="hybridMultilevel"/>
    <w:tmpl w:val="B178C92A"/>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EA3A6B"/>
    <w:multiLevelType w:val="hybridMultilevel"/>
    <w:tmpl w:val="B7A0F3C8"/>
    <w:lvl w:ilvl="0" w:tplc="B888DFF0">
      <w:start w:val="1"/>
      <w:numFmt w:val="decimal"/>
      <w:lvlText w:val="%1."/>
      <w:lvlJc w:val="left"/>
      <w:pPr>
        <w:ind w:left="972" w:hanging="405"/>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99"/>
    <w:rsid w:val="000337B7"/>
    <w:rsid w:val="00043282"/>
    <w:rsid w:val="0008050B"/>
    <w:rsid w:val="000A1BF4"/>
    <w:rsid w:val="00110D98"/>
    <w:rsid w:val="00167DFA"/>
    <w:rsid w:val="0021207C"/>
    <w:rsid w:val="00255E99"/>
    <w:rsid w:val="00264A8B"/>
    <w:rsid w:val="002F147A"/>
    <w:rsid w:val="00351C35"/>
    <w:rsid w:val="00354438"/>
    <w:rsid w:val="00465A28"/>
    <w:rsid w:val="00535587"/>
    <w:rsid w:val="00681971"/>
    <w:rsid w:val="00681ECE"/>
    <w:rsid w:val="00693691"/>
    <w:rsid w:val="00761D29"/>
    <w:rsid w:val="00932BF2"/>
    <w:rsid w:val="00957F6D"/>
    <w:rsid w:val="00961910"/>
    <w:rsid w:val="009B5C97"/>
    <w:rsid w:val="009D6EB5"/>
    <w:rsid w:val="00AC2AF1"/>
    <w:rsid w:val="00B6621C"/>
    <w:rsid w:val="00D6099F"/>
    <w:rsid w:val="00D65FB8"/>
    <w:rsid w:val="00F53877"/>
    <w:rsid w:val="00F94ECA"/>
    <w:rsid w:val="00FD57FD"/>
    <w:rsid w:val="00FE53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60D3"/>
  <w15:chartTrackingRefBased/>
  <w15:docId w15:val="{4406CA83-9F16-4119-9908-A9D78D26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255E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listparagraph">
    <w:name w:val="x_msolistparagraph"/>
    <w:basedOn w:val="Normal"/>
    <w:rsid w:val="00255E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footnotetext">
    <w:name w:val="x_msofootnotetext"/>
    <w:basedOn w:val="Normal"/>
    <w:rsid w:val="00255E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55E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5E99"/>
  </w:style>
  <w:style w:type="paragraph" w:styleId="Rodap">
    <w:name w:val="footer"/>
    <w:basedOn w:val="Normal"/>
    <w:link w:val="RodapChar"/>
    <w:uiPriority w:val="99"/>
    <w:unhideWhenUsed/>
    <w:rsid w:val="00255E99"/>
    <w:pPr>
      <w:tabs>
        <w:tab w:val="center" w:pos="4252"/>
        <w:tab w:val="right" w:pos="8504"/>
      </w:tabs>
      <w:spacing w:after="0" w:line="240" w:lineRule="auto"/>
    </w:pPr>
  </w:style>
  <w:style w:type="character" w:customStyle="1" w:styleId="RodapChar">
    <w:name w:val="Rodapé Char"/>
    <w:basedOn w:val="Fontepargpadro"/>
    <w:link w:val="Rodap"/>
    <w:uiPriority w:val="99"/>
    <w:rsid w:val="00255E99"/>
  </w:style>
  <w:style w:type="paragraph" w:styleId="PargrafodaLista">
    <w:name w:val="List Paragraph"/>
    <w:basedOn w:val="Normal"/>
    <w:uiPriority w:val="34"/>
    <w:qFormat/>
    <w:rsid w:val="00535587"/>
    <w:pPr>
      <w:ind w:left="720"/>
      <w:contextualSpacing/>
    </w:pPr>
  </w:style>
  <w:style w:type="character" w:styleId="Hyperlink">
    <w:name w:val="Hyperlink"/>
    <w:basedOn w:val="Fontepargpadro"/>
    <w:uiPriority w:val="99"/>
    <w:semiHidden/>
    <w:unhideWhenUsed/>
    <w:rsid w:val="000337B7"/>
    <w:rPr>
      <w:color w:val="0563C1"/>
      <w:u w:val="single"/>
    </w:rPr>
  </w:style>
  <w:style w:type="paragraph" w:customStyle="1" w:styleId="xxmsonormal">
    <w:name w:val="x_xmsonormal"/>
    <w:basedOn w:val="Normal"/>
    <w:rsid w:val="006936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xspelle">
    <w:name w:val="x_spelle"/>
    <w:basedOn w:val="Fontepargpadro"/>
    <w:rsid w:val="00693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4989">
      <w:bodyDiv w:val="1"/>
      <w:marLeft w:val="0"/>
      <w:marRight w:val="0"/>
      <w:marTop w:val="0"/>
      <w:marBottom w:val="0"/>
      <w:divBdr>
        <w:top w:val="none" w:sz="0" w:space="0" w:color="auto"/>
        <w:left w:val="none" w:sz="0" w:space="0" w:color="auto"/>
        <w:bottom w:val="none" w:sz="0" w:space="0" w:color="auto"/>
        <w:right w:val="none" w:sz="0" w:space="0" w:color="auto"/>
      </w:divBdr>
    </w:div>
    <w:div w:id="181015696">
      <w:bodyDiv w:val="1"/>
      <w:marLeft w:val="0"/>
      <w:marRight w:val="0"/>
      <w:marTop w:val="0"/>
      <w:marBottom w:val="0"/>
      <w:divBdr>
        <w:top w:val="none" w:sz="0" w:space="0" w:color="auto"/>
        <w:left w:val="none" w:sz="0" w:space="0" w:color="auto"/>
        <w:bottom w:val="none" w:sz="0" w:space="0" w:color="auto"/>
        <w:right w:val="none" w:sz="0" w:space="0" w:color="auto"/>
      </w:divBdr>
    </w:div>
    <w:div w:id="1426682982">
      <w:bodyDiv w:val="1"/>
      <w:marLeft w:val="0"/>
      <w:marRight w:val="0"/>
      <w:marTop w:val="0"/>
      <w:marBottom w:val="0"/>
      <w:divBdr>
        <w:top w:val="none" w:sz="0" w:space="0" w:color="auto"/>
        <w:left w:val="none" w:sz="0" w:space="0" w:color="auto"/>
        <w:bottom w:val="none" w:sz="0" w:space="0" w:color="auto"/>
        <w:right w:val="none" w:sz="0" w:space="0" w:color="auto"/>
      </w:divBdr>
    </w:div>
    <w:div w:id="2062442154">
      <w:bodyDiv w:val="1"/>
      <w:marLeft w:val="0"/>
      <w:marRight w:val="0"/>
      <w:marTop w:val="0"/>
      <w:marBottom w:val="0"/>
      <w:divBdr>
        <w:top w:val="none" w:sz="0" w:space="0" w:color="auto"/>
        <w:left w:val="none" w:sz="0" w:space="0" w:color="auto"/>
        <w:bottom w:val="none" w:sz="0" w:space="0" w:color="auto"/>
        <w:right w:val="none" w:sz="0" w:space="0" w:color="auto"/>
      </w:divBdr>
      <w:divsChild>
        <w:div w:id="1463382694">
          <w:marLeft w:val="0"/>
          <w:marRight w:val="0"/>
          <w:marTop w:val="0"/>
          <w:marBottom w:val="0"/>
          <w:divBdr>
            <w:top w:val="none" w:sz="0" w:space="0" w:color="auto"/>
            <w:left w:val="none" w:sz="0" w:space="0" w:color="auto"/>
            <w:bottom w:val="none" w:sz="0" w:space="0" w:color="auto"/>
            <w:right w:val="none" w:sz="0" w:space="0" w:color="auto"/>
          </w:divBdr>
        </w:div>
      </w:divsChild>
    </w:div>
    <w:div w:id="21443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tner.microsoft.com/pt-br/licensing/Parceiros%20LSP"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microsoft.com/pt-br/licensing/licensing-programs/licensing-for-industries?activetab=licensing-for-industries-pivot:primaryr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0F96F5451E14B45AE8C8E4BB464F524" ma:contentTypeVersion="12" ma:contentTypeDescription="Crie um novo documento." ma:contentTypeScope="" ma:versionID="f1a970eefbf50288c8eff1e5af7b86f5">
  <xsd:schema xmlns:xsd="http://www.w3.org/2001/XMLSchema" xmlns:xs="http://www.w3.org/2001/XMLSchema" xmlns:p="http://schemas.microsoft.com/office/2006/metadata/properties" xmlns:ns2="370554bd-072d-4106-97cf-38ea6d998e0c" xmlns:ns3="7e6c51b5-6832-4a14-acc3-a00f379b0481" targetNamespace="http://schemas.microsoft.com/office/2006/metadata/properties" ma:root="true" ma:fieldsID="6748b8e75479ff574674219af65cb6d7" ns2:_="" ns3:_="">
    <xsd:import namespace="370554bd-072d-4106-97cf-38ea6d998e0c"/>
    <xsd:import namespace="7e6c51b5-6832-4a14-acc3-a00f379b04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554bd-072d-4106-97cf-38ea6d998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6c51b5-6832-4a14-acc3-a00f379b0481"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5566F-5CBB-4EFD-88DE-13562A20E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64FCF1-6607-4D4B-A727-142672F73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554bd-072d-4106-97cf-38ea6d998e0c"/>
    <ds:schemaRef ds:uri="7e6c51b5-6832-4a14-acc3-a00f379b0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D41D4-6E50-4DB1-A45E-1AB0B5012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1436</Words>
  <Characters>7758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Spies</dc:creator>
  <cp:keywords/>
  <dc:description/>
  <cp:lastModifiedBy>Dulce Spies</cp:lastModifiedBy>
  <cp:revision>5</cp:revision>
  <dcterms:created xsi:type="dcterms:W3CDTF">2020-12-15T17:56:00Z</dcterms:created>
  <dcterms:modified xsi:type="dcterms:W3CDTF">2020-12-15T20:56:00Z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0x01010080F96F5451E14B45AE8C8E4BB464F524</vt:lpwstr>
  </property>
</Properties>
</file>