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2830" w14:textId="16269E6A" w:rsidR="009D15C6" w:rsidRPr="0022506A" w:rsidRDefault="009D15C6" w:rsidP="009D15C6">
      <w:pPr>
        <w:jc w:val="center"/>
        <w:rPr>
          <w:rFonts w:ascii="Arial Narrow" w:hAnsi="Arial Narrow"/>
          <w:b/>
          <w:bCs/>
          <w:color w:val="0E2841" w:themeColor="text2"/>
          <w:u w:val="single"/>
        </w:rPr>
      </w:pPr>
      <w:r w:rsidRPr="0022506A">
        <w:rPr>
          <w:rFonts w:ascii="Arial Narrow" w:hAnsi="Arial Narrow"/>
          <w:b/>
          <w:bCs/>
          <w:color w:val="0E2841" w:themeColor="text2"/>
          <w:u w:val="single"/>
        </w:rPr>
        <w:t xml:space="preserve">ESCLARECIMENTO </w:t>
      </w:r>
      <w:r w:rsidR="00634C37">
        <w:rPr>
          <w:rFonts w:ascii="Arial Narrow" w:hAnsi="Arial Narrow"/>
          <w:b/>
          <w:bCs/>
          <w:color w:val="0E2841" w:themeColor="text2"/>
          <w:u w:val="single"/>
        </w:rPr>
        <w:t>1</w:t>
      </w:r>
      <w:r w:rsidR="00E34CEA">
        <w:rPr>
          <w:rFonts w:ascii="Arial Narrow" w:hAnsi="Arial Narrow"/>
          <w:b/>
          <w:bCs/>
          <w:color w:val="0E2841" w:themeColor="text2"/>
          <w:u w:val="single"/>
        </w:rPr>
        <w:t>5</w:t>
      </w:r>
    </w:p>
    <w:p w14:paraId="3A645B28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3709DD55" w14:textId="77777777" w:rsidR="009D15C6" w:rsidRPr="0022506A" w:rsidRDefault="009D15C6" w:rsidP="009D15C6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CHAMAMENTO PÚBLICO</w:t>
      </w:r>
    </w:p>
    <w:p w14:paraId="107CCA84" w14:textId="3F43F123" w:rsidR="009D15C6" w:rsidRPr="0022506A" w:rsidRDefault="009D15C6" w:rsidP="009D15C6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SELEÇÃO COM DISPUTA NA FORMA ABERTA PELO PROCEDIMENTO REMOTO Nº </w:t>
      </w:r>
      <w:bookmarkStart w:id="0" w:name="Texto33"/>
      <w:bookmarkEnd w:id="0"/>
      <w:r>
        <w:rPr>
          <w:rFonts w:ascii="Arial Narrow" w:hAnsi="Arial Narrow"/>
          <w:b/>
          <w:color w:val="0E2841" w:themeColor="text2"/>
        </w:rPr>
        <w:t>0</w:t>
      </w:r>
      <w:r w:rsidR="00A704F4">
        <w:rPr>
          <w:rFonts w:ascii="Arial Narrow" w:hAnsi="Arial Narrow"/>
          <w:b/>
          <w:color w:val="0E2841" w:themeColor="text2"/>
        </w:rPr>
        <w:t>28</w:t>
      </w:r>
      <w:r>
        <w:rPr>
          <w:rFonts w:ascii="Arial Narrow" w:hAnsi="Arial Narrow"/>
          <w:b/>
          <w:color w:val="0E2841" w:themeColor="text2"/>
        </w:rPr>
        <w:t>/2026</w:t>
      </w:r>
    </w:p>
    <w:p w14:paraId="1E71EC1E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9D15C6" w:rsidRPr="0022506A" w14:paraId="137BE67E" w14:textId="77777777" w:rsidTr="00B10B1C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FD4A" w14:textId="29E8CD18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Processo nº 0</w:t>
            </w:r>
            <w:r>
              <w:rPr>
                <w:rFonts w:ascii="Arial Narrow" w:hAnsi="Arial Narrow"/>
                <w:b/>
                <w:color w:val="0E2841" w:themeColor="text2"/>
              </w:rPr>
              <w:t>0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590</w:t>
            </w:r>
            <w:r w:rsidRPr="0022506A">
              <w:rPr>
                <w:rFonts w:ascii="Arial Narrow" w:hAnsi="Arial Narrow"/>
                <w:b/>
                <w:color w:val="0E2841" w:themeColor="text2"/>
              </w:rPr>
              <w:t>/202</w:t>
            </w:r>
            <w:r>
              <w:rPr>
                <w:rFonts w:ascii="Arial Narrow" w:hAnsi="Arial Narrow"/>
                <w:b/>
                <w:color w:val="0E2841" w:themeColor="text2"/>
              </w:rPr>
              <w:t>6</w:t>
            </w:r>
            <w:r w:rsidRPr="00932BF1">
              <w:rPr>
                <w:rFonts w:ascii="Arial Narrow" w:hAnsi="Arial Narrow"/>
                <w:b/>
                <w:color w:val="0E2841" w:themeColor="text2"/>
              </w:rPr>
              <w:t xml:space="preserve"> – SC 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069790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B0D0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Critério: Econômico pelo Menor Preço</w:t>
            </w:r>
          </w:p>
        </w:tc>
      </w:tr>
      <w:tr w:rsidR="009D15C6" w:rsidRPr="0022506A" w14:paraId="16E42644" w14:textId="77777777" w:rsidTr="00B10B1C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3BD4" w14:textId="20270178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 xml:space="preserve">Abertura: 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19/05</w:t>
            </w:r>
            <w:r>
              <w:rPr>
                <w:rFonts w:ascii="Arial Narrow" w:hAnsi="Arial Narrow"/>
                <w:b/>
                <w:color w:val="0E2841" w:themeColor="text2"/>
              </w:rPr>
              <w:t>/2026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F582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Horário: 10h</w:t>
            </w:r>
          </w:p>
        </w:tc>
      </w:tr>
      <w:tr w:rsidR="009D15C6" w:rsidRPr="0022506A" w14:paraId="1AD9C6FB" w14:textId="77777777" w:rsidTr="00B10B1C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AE5B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Local: SBN, Quadra 1, Bloco C, Edifício Roberto Simonsen, 2º andar, CEP 70040-903 Brasília (DF). Fone: (61) 3317-9891 – E-mail:</w:t>
            </w:r>
            <w:r w:rsidRPr="0022506A">
              <w:rPr>
                <w:rFonts w:ascii="Arial Narrow" w:hAnsi="Arial Narrow"/>
                <w:b/>
                <w:color w:val="0E2841" w:themeColor="text2"/>
                <w:u w:val="single"/>
              </w:rPr>
              <w:t xml:space="preserve"> </w:t>
            </w:r>
            <w:hyperlink r:id="rId11" w:history="1">
              <w:r w:rsidRPr="0022506A">
                <w:rPr>
                  <w:rStyle w:val="Hyperlink"/>
                  <w:rFonts w:ascii="Arial Narrow" w:hAnsi="Arial Narrow"/>
                  <w:b/>
                </w:rPr>
                <w:t>processodeselecao@cni.com.br</w:t>
              </w:r>
            </w:hyperlink>
          </w:p>
        </w:tc>
      </w:tr>
    </w:tbl>
    <w:p w14:paraId="2FB35092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0D26AC29" w14:textId="315BE6C9" w:rsidR="009D15C6" w:rsidRDefault="009D15C6" w:rsidP="009D15C6">
      <w:pPr>
        <w:jc w:val="both"/>
        <w:rPr>
          <w:rFonts w:ascii="Arial Narrow" w:hAnsi="Arial Narrow"/>
          <w:b/>
          <w:bCs/>
          <w:color w:val="0E2841" w:themeColor="text2"/>
        </w:rPr>
      </w:pPr>
      <w:r w:rsidRPr="0022506A">
        <w:rPr>
          <w:rFonts w:ascii="Arial Narrow" w:hAnsi="Arial Narrow"/>
          <w:b/>
          <w:bCs/>
          <w:color w:val="0E2841" w:themeColor="text2"/>
        </w:rPr>
        <w:t xml:space="preserve">PERGUNTA 1: </w:t>
      </w:r>
      <w:r>
        <w:rPr>
          <w:rFonts w:ascii="Arial Narrow" w:hAnsi="Arial Narrow"/>
          <w:b/>
          <w:bCs/>
          <w:color w:val="0E2841" w:themeColor="text2"/>
        </w:rPr>
        <w:t>“</w:t>
      </w:r>
      <w:r w:rsidR="00E34CEA" w:rsidRPr="00E34CEA">
        <w:rPr>
          <w:rFonts w:ascii="Arial Narrow" w:hAnsi="Arial Narrow"/>
          <w:b/>
          <w:bCs/>
          <w:color w:val="0E2841" w:themeColor="text2"/>
        </w:rPr>
        <w:t>Qual o fornecedor atual ?</w:t>
      </w:r>
      <w:r>
        <w:rPr>
          <w:rFonts w:ascii="Arial Narrow" w:hAnsi="Arial Narrow"/>
          <w:b/>
          <w:bCs/>
          <w:color w:val="0E2841" w:themeColor="text2"/>
        </w:rPr>
        <w:t>”</w:t>
      </w:r>
    </w:p>
    <w:p w14:paraId="7BCB0827" w14:textId="18E4FD00" w:rsidR="00C81177" w:rsidRDefault="009D15C6" w:rsidP="00C81177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RESPOSTA</w:t>
      </w:r>
      <w:r w:rsidR="00A704F4">
        <w:rPr>
          <w:rFonts w:ascii="Arial Narrow" w:hAnsi="Arial Narrow"/>
          <w:b/>
          <w:bCs/>
          <w:color w:val="0E2841" w:themeColor="text2"/>
          <w:highlight w:val="darkGray"/>
        </w:rPr>
        <w:t xml:space="preserve"> 1</w:t>
      </w: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 w:rsidR="0082539A"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E34CEA">
        <w:rPr>
          <w:rFonts w:ascii="Arial Narrow" w:hAnsi="Arial Narrow"/>
          <w:b/>
          <w:bCs/>
          <w:color w:val="0E2841" w:themeColor="text2"/>
          <w:highlight w:val="darkGray"/>
        </w:rPr>
        <w:t>Pluxee</w:t>
      </w:r>
      <w:r w:rsidR="00C81177">
        <w:rPr>
          <w:rFonts w:ascii="Arial Narrow" w:hAnsi="Arial Narrow"/>
          <w:b/>
          <w:bCs/>
          <w:color w:val="0E2841" w:themeColor="text2"/>
          <w:highlight w:val="darkGray"/>
        </w:rPr>
        <w:t>:</w:t>
      </w:r>
    </w:p>
    <w:p w14:paraId="6F3E323B" w14:textId="77777777" w:rsidR="00C81177" w:rsidRDefault="00C81177" w:rsidP="00C81177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493980CE" w14:textId="77F31DB9" w:rsidR="00C81177" w:rsidRPr="00C81177" w:rsidRDefault="00C81177" w:rsidP="00C81177">
      <w:pPr>
        <w:jc w:val="both"/>
        <w:rPr>
          <w:rFonts w:ascii="Arial Narrow" w:hAnsi="Arial Narrow"/>
          <w:b/>
          <w:bCs/>
          <w:color w:val="0E2841" w:themeColor="text2"/>
        </w:rPr>
      </w:pPr>
      <w:r w:rsidRPr="0022506A">
        <w:rPr>
          <w:rFonts w:ascii="Arial Narrow" w:hAnsi="Arial Narrow"/>
          <w:b/>
          <w:bCs/>
          <w:color w:val="0E2841" w:themeColor="text2"/>
        </w:rPr>
        <w:t xml:space="preserve">PERGUNTA </w:t>
      </w:r>
      <w:r>
        <w:rPr>
          <w:rFonts w:ascii="Arial Narrow" w:hAnsi="Arial Narrow"/>
          <w:b/>
          <w:bCs/>
          <w:color w:val="0E2841" w:themeColor="text2"/>
        </w:rPr>
        <w:t>2</w:t>
      </w:r>
      <w:r w:rsidRPr="0022506A">
        <w:rPr>
          <w:rFonts w:ascii="Arial Narrow" w:hAnsi="Arial Narrow"/>
          <w:b/>
          <w:bCs/>
          <w:color w:val="0E2841" w:themeColor="text2"/>
        </w:rPr>
        <w:t xml:space="preserve">: </w:t>
      </w:r>
      <w:r>
        <w:rPr>
          <w:rFonts w:ascii="Arial Narrow" w:hAnsi="Arial Narrow"/>
          <w:b/>
          <w:bCs/>
          <w:color w:val="0E2841" w:themeColor="text2"/>
        </w:rPr>
        <w:t>“</w:t>
      </w:r>
      <w:r w:rsidR="00E34CEA" w:rsidRPr="00E34CEA">
        <w:rPr>
          <w:rFonts w:ascii="Arial Narrow" w:hAnsi="Arial Narrow"/>
          <w:b/>
          <w:bCs/>
          <w:color w:val="0E2841" w:themeColor="text2"/>
        </w:rPr>
        <w:t>Qual a taxa praticada?</w:t>
      </w:r>
      <w:r>
        <w:rPr>
          <w:rFonts w:ascii="Arial Narrow" w:hAnsi="Arial Narrow"/>
          <w:b/>
          <w:bCs/>
          <w:color w:val="0E2841" w:themeColor="text2"/>
        </w:rPr>
        <w:t>”</w:t>
      </w:r>
    </w:p>
    <w:p w14:paraId="5620C9CF" w14:textId="795DA116" w:rsidR="00C81177" w:rsidRPr="00585EFE" w:rsidRDefault="00C81177" w:rsidP="00C81177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RESPOSTA</w:t>
      </w:r>
      <w:r w:rsidRPr="008C724A"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2: </w:t>
      </w:r>
      <w:r w:rsidR="00E34CEA">
        <w:rPr>
          <w:rFonts w:ascii="Arial Narrow" w:hAnsi="Arial Narrow"/>
          <w:b/>
          <w:bCs/>
          <w:color w:val="0E2841" w:themeColor="text2"/>
          <w:highlight w:val="darkGray"/>
        </w:rPr>
        <w:t>Taxa zero.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</w:p>
    <w:p w14:paraId="07428720" w14:textId="5449AD6C" w:rsidR="00E233A3" w:rsidRDefault="00C81177" w:rsidP="00E233A3">
      <w:pPr>
        <w:spacing w:before="240"/>
        <w:jc w:val="both"/>
        <w:rPr>
          <w:rFonts w:ascii="Arial Narrow" w:hAnsi="Arial Narrow"/>
          <w:b/>
          <w:bCs/>
          <w:color w:val="0E2841" w:themeColor="text2"/>
        </w:rPr>
      </w:pPr>
      <w:r w:rsidRPr="0022506A">
        <w:rPr>
          <w:rFonts w:ascii="Arial Narrow" w:hAnsi="Arial Narrow"/>
          <w:b/>
          <w:bCs/>
          <w:color w:val="0E2841" w:themeColor="text2"/>
        </w:rPr>
        <w:t xml:space="preserve">PERGUNTA </w:t>
      </w:r>
      <w:r>
        <w:rPr>
          <w:rFonts w:ascii="Arial Narrow" w:hAnsi="Arial Narrow"/>
          <w:b/>
          <w:bCs/>
          <w:color w:val="0E2841" w:themeColor="text2"/>
        </w:rPr>
        <w:t>3</w:t>
      </w:r>
      <w:r w:rsidRPr="0022506A">
        <w:rPr>
          <w:rFonts w:ascii="Arial Narrow" w:hAnsi="Arial Narrow"/>
          <w:b/>
          <w:bCs/>
          <w:color w:val="0E2841" w:themeColor="text2"/>
        </w:rPr>
        <w:t xml:space="preserve">: </w:t>
      </w:r>
      <w:r>
        <w:rPr>
          <w:rFonts w:ascii="Arial Narrow" w:hAnsi="Arial Narrow"/>
          <w:b/>
          <w:bCs/>
          <w:color w:val="0E2841" w:themeColor="text2"/>
        </w:rPr>
        <w:t>“</w:t>
      </w:r>
      <w:r w:rsidR="00E34CEA" w:rsidRPr="00E34CEA">
        <w:rPr>
          <w:rFonts w:ascii="Arial Narrow" w:hAnsi="Arial Narrow"/>
          <w:b/>
          <w:bCs/>
          <w:color w:val="0E2841" w:themeColor="text2"/>
        </w:rPr>
        <w:t>Será aceito arranjo aberto, ficando dispensado comprovação de rede?</w:t>
      </w:r>
      <w:r>
        <w:rPr>
          <w:rFonts w:ascii="Arial Narrow" w:hAnsi="Arial Narrow"/>
          <w:b/>
          <w:bCs/>
          <w:color w:val="0E2841" w:themeColor="text2"/>
        </w:rPr>
        <w:t>”</w:t>
      </w:r>
    </w:p>
    <w:p w14:paraId="0DA38199" w14:textId="38F137A6" w:rsidR="00E34CEA" w:rsidRPr="000E2779" w:rsidRDefault="00C81177" w:rsidP="00E34CEA">
      <w:pPr>
        <w:spacing w:before="240"/>
        <w:jc w:val="both"/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</w:pP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RESPOSTA</w:t>
      </w:r>
      <w:r w:rsidRPr="008C724A"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>3:</w:t>
      </w:r>
      <w:r w:rsidR="00CB4919" w:rsidRPr="00273A88"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E34CEA">
        <w:rPr>
          <w:rFonts w:ascii="Arial Narrow" w:hAnsi="Arial Narrow"/>
          <w:b/>
          <w:bCs/>
          <w:color w:val="0E2841" w:themeColor="text2"/>
          <w:highlight w:val="darkGray"/>
        </w:rPr>
        <w:t xml:space="preserve">Não será aceito arranjo aberto. </w:t>
      </w:r>
      <w:r w:rsidR="00E34CEA" w:rsidRPr="000E2779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>O Chamamento Público foi retificado para adoção exclusiva d</w:t>
      </w:r>
      <w:r w:rsidR="00E34CEA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>o</w:t>
      </w:r>
      <w:r w:rsidR="00E34CEA" w:rsidRPr="000E2779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 xml:space="preserve"> arranjo fechado. A legislação vigente não impõe a obrigatoriedade do modelo aberto, permitindo que a entidade contratante defina o modelo que melhor atenda às suas necessidades de controle e fiscalização. Diferentemente do arranjo aberto, onde o cartão pode ser utilizado em qualquer estabelecimento que possua o código de categoria comercial (MCC) de alimentação, o</w:t>
      </w:r>
      <w:r w:rsidR="00E34CEA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 xml:space="preserve"> </w:t>
      </w:r>
      <w:r w:rsidR="00E34CEA" w:rsidRPr="000E2779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>arranjo fechado</w:t>
      </w:r>
      <w:r w:rsidR="00E34CEA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 xml:space="preserve"> </w:t>
      </w:r>
      <w:r w:rsidR="00E34CEA" w:rsidRPr="000E2779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>permite um controle mais rigoroso sobre a rede credenciada. No modelo fechado, a operadora mantém contrato direto com cada estabelecimento.</w:t>
      </w:r>
      <w:r w:rsidR="00E34CEA">
        <w:rPr>
          <w:rFonts w:ascii="Arial Narrow" w:hAnsi="Arial Narrow"/>
          <w:b/>
          <w:bCs/>
          <w:color w:val="0E2841" w:themeColor="text2"/>
          <w:sz w:val="23"/>
          <w:szCs w:val="23"/>
          <w:highlight w:val="darkGray"/>
        </w:rPr>
        <w:t xml:space="preserve"> A empresa vencedora deverá efetuar a comprovação da rede credenciada, conforme solicitado no termo de referência.</w:t>
      </w:r>
    </w:p>
    <w:p w14:paraId="4D36498F" w14:textId="77777777" w:rsidR="007A1714" w:rsidRDefault="007A1714" w:rsidP="007A1714">
      <w:pPr>
        <w:jc w:val="right"/>
        <w:rPr>
          <w:rFonts w:ascii="Arial Narrow" w:hAnsi="Arial Narrow"/>
          <w:b/>
          <w:color w:val="0E2841" w:themeColor="text2"/>
        </w:rPr>
      </w:pPr>
    </w:p>
    <w:p w14:paraId="11FAE094" w14:textId="77777777" w:rsidR="00E34CEA" w:rsidRDefault="00E34CEA" w:rsidP="007A1714">
      <w:pPr>
        <w:jc w:val="right"/>
        <w:rPr>
          <w:rFonts w:ascii="Arial Narrow" w:hAnsi="Arial Narrow"/>
          <w:b/>
          <w:color w:val="0E2841" w:themeColor="text2"/>
        </w:rPr>
      </w:pPr>
    </w:p>
    <w:p w14:paraId="656D9AE4" w14:textId="4D069E7C" w:rsidR="007A1714" w:rsidRPr="0022506A" w:rsidRDefault="007A1714" w:rsidP="007A1714">
      <w:pPr>
        <w:jc w:val="right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Brasília - DF, </w:t>
      </w:r>
      <w:r w:rsidR="00273A88">
        <w:rPr>
          <w:rFonts w:ascii="Arial Narrow" w:hAnsi="Arial Narrow"/>
          <w:b/>
          <w:color w:val="0E2841" w:themeColor="text2"/>
        </w:rPr>
        <w:t>20</w:t>
      </w:r>
      <w:r>
        <w:rPr>
          <w:rFonts w:ascii="Arial Narrow" w:hAnsi="Arial Narrow"/>
          <w:b/>
          <w:color w:val="0E2841" w:themeColor="text2"/>
        </w:rPr>
        <w:t xml:space="preserve"> </w:t>
      </w:r>
      <w:r w:rsidRPr="0022506A">
        <w:rPr>
          <w:rFonts w:ascii="Arial Narrow" w:hAnsi="Arial Narrow"/>
          <w:b/>
          <w:color w:val="0E2841" w:themeColor="text2"/>
        </w:rPr>
        <w:t xml:space="preserve">de </w:t>
      </w:r>
      <w:r>
        <w:rPr>
          <w:rFonts w:ascii="Arial Narrow" w:hAnsi="Arial Narrow"/>
          <w:b/>
          <w:color w:val="0E2841" w:themeColor="text2"/>
        </w:rPr>
        <w:t>maio</w:t>
      </w:r>
      <w:r w:rsidRPr="0022506A">
        <w:rPr>
          <w:rFonts w:ascii="Arial Narrow" w:hAnsi="Arial Narrow"/>
          <w:b/>
          <w:color w:val="0E2841" w:themeColor="text2"/>
        </w:rPr>
        <w:t xml:space="preserve"> de 202</w:t>
      </w:r>
      <w:r>
        <w:rPr>
          <w:rFonts w:ascii="Arial Narrow" w:hAnsi="Arial Narrow"/>
          <w:b/>
          <w:color w:val="0E2841" w:themeColor="text2"/>
        </w:rPr>
        <w:t>6</w:t>
      </w:r>
      <w:r w:rsidRPr="0022506A">
        <w:rPr>
          <w:rFonts w:ascii="Arial Narrow" w:hAnsi="Arial Narrow"/>
          <w:b/>
          <w:color w:val="0E2841" w:themeColor="text2"/>
        </w:rPr>
        <w:t>.</w:t>
      </w:r>
    </w:p>
    <w:p w14:paraId="12CD34C1" w14:textId="77777777" w:rsidR="007A1714" w:rsidRPr="0022506A" w:rsidRDefault="007A1714" w:rsidP="009D15C6">
      <w:pPr>
        <w:rPr>
          <w:rFonts w:ascii="Arial Narrow" w:hAnsi="Arial Narrow"/>
          <w:b/>
          <w:color w:val="0E2841" w:themeColor="text2"/>
        </w:rPr>
      </w:pPr>
    </w:p>
    <w:p w14:paraId="6E9DA07F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4EDB0E6B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4B921DC1" w14:textId="422E36B6" w:rsidR="00C365D8" w:rsidRPr="00AF1129" w:rsidRDefault="009D15C6" w:rsidP="00AF1129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Comissão Permanente de Contratação e Alienação</w:t>
      </w:r>
    </w:p>
    <w:sectPr w:rsidR="00C365D8" w:rsidRPr="00AF1129" w:rsidSect="003370DF">
      <w:headerReference w:type="default" r:id="rId12"/>
      <w:pgSz w:w="11906" w:h="16838"/>
      <w:pgMar w:top="1560" w:right="1080" w:bottom="2269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D511" w14:textId="77777777" w:rsidR="00F82E6A" w:rsidRDefault="00F82E6A">
      <w:r>
        <w:separator/>
      </w:r>
    </w:p>
  </w:endnote>
  <w:endnote w:type="continuationSeparator" w:id="0">
    <w:p w14:paraId="26BE866C" w14:textId="77777777" w:rsidR="00F82E6A" w:rsidRDefault="00F8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57D9" w14:textId="77777777" w:rsidR="00F82E6A" w:rsidRDefault="00F82E6A">
      <w:r>
        <w:separator/>
      </w:r>
    </w:p>
  </w:footnote>
  <w:footnote w:type="continuationSeparator" w:id="0">
    <w:p w14:paraId="3483518E" w14:textId="77777777" w:rsidR="00F82E6A" w:rsidRDefault="00F8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57DD" w14:textId="60DEEED0" w:rsidR="00B41C88" w:rsidRPr="001D6143" w:rsidRDefault="00C649F4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C85BD" wp14:editId="7D211E08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72951" cy="1071668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4028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51" cy="107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768F"/>
    <w:multiLevelType w:val="multilevel"/>
    <w:tmpl w:val="158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A45F44"/>
    <w:multiLevelType w:val="multilevel"/>
    <w:tmpl w:val="F118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2218A0"/>
    <w:multiLevelType w:val="multilevel"/>
    <w:tmpl w:val="C7B8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210DB"/>
    <w:multiLevelType w:val="multilevel"/>
    <w:tmpl w:val="CC1AA8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1C8F55E4"/>
    <w:multiLevelType w:val="hybridMultilevel"/>
    <w:tmpl w:val="A49C667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22EA7"/>
    <w:multiLevelType w:val="multilevel"/>
    <w:tmpl w:val="D1F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EE7792"/>
    <w:multiLevelType w:val="hybridMultilevel"/>
    <w:tmpl w:val="8F043072"/>
    <w:lvl w:ilvl="0" w:tplc="DF2AE7D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164"/>
    <w:multiLevelType w:val="hybridMultilevel"/>
    <w:tmpl w:val="F67ED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4044"/>
    <w:multiLevelType w:val="hybridMultilevel"/>
    <w:tmpl w:val="42B2FE0E"/>
    <w:lvl w:ilvl="0" w:tplc="DF2AE7D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44E29"/>
    <w:multiLevelType w:val="multilevel"/>
    <w:tmpl w:val="8176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2576AC"/>
    <w:multiLevelType w:val="multilevel"/>
    <w:tmpl w:val="DF3A2F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EE91357"/>
    <w:multiLevelType w:val="multilevel"/>
    <w:tmpl w:val="2DD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690373">
    <w:abstractNumId w:val="0"/>
  </w:num>
  <w:num w:numId="2" w16cid:durableId="309867638">
    <w:abstractNumId w:val="12"/>
  </w:num>
  <w:num w:numId="3" w16cid:durableId="1713922998">
    <w:abstractNumId w:val="4"/>
  </w:num>
  <w:num w:numId="4" w16cid:durableId="999309579">
    <w:abstractNumId w:val="1"/>
  </w:num>
  <w:num w:numId="5" w16cid:durableId="453450102">
    <w:abstractNumId w:val="11"/>
  </w:num>
  <w:num w:numId="6" w16cid:durableId="46689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794668">
    <w:abstractNumId w:val="8"/>
  </w:num>
  <w:num w:numId="8" w16cid:durableId="169687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9227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7242337">
    <w:abstractNumId w:val="6"/>
  </w:num>
  <w:num w:numId="11" w16cid:durableId="1425802167">
    <w:abstractNumId w:val="2"/>
  </w:num>
  <w:num w:numId="12" w16cid:durableId="1668316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9123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69D2"/>
    <w:rsid w:val="00044E92"/>
    <w:rsid w:val="000532CF"/>
    <w:rsid w:val="0007600B"/>
    <w:rsid w:val="00094AAF"/>
    <w:rsid w:val="000A2A1A"/>
    <w:rsid w:val="000A2C7B"/>
    <w:rsid w:val="000B54E6"/>
    <w:rsid w:val="000D6938"/>
    <w:rsid w:val="000E34A3"/>
    <w:rsid w:val="0010458E"/>
    <w:rsid w:val="00105201"/>
    <w:rsid w:val="00130DB0"/>
    <w:rsid w:val="00142718"/>
    <w:rsid w:val="00145B80"/>
    <w:rsid w:val="00183B2A"/>
    <w:rsid w:val="001A7687"/>
    <w:rsid w:val="001B05E7"/>
    <w:rsid w:val="001D6143"/>
    <w:rsid w:val="001E5705"/>
    <w:rsid w:val="00273A88"/>
    <w:rsid w:val="002834D7"/>
    <w:rsid w:val="00284C5A"/>
    <w:rsid w:val="002A6DE2"/>
    <w:rsid w:val="002B1CD2"/>
    <w:rsid w:val="002D63C9"/>
    <w:rsid w:val="002E46E0"/>
    <w:rsid w:val="003233D8"/>
    <w:rsid w:val="003370DF"/>
    <w:rsid w:val="00356C3F"/>
    <w:rsid w:val="0036230A"/>
    <w:rsid w:val="00364299"/>
    <w:rsid w:val="00377AD8"/>
    <w:rsid w:val="003B31AE"/>
    <w:rsid w:val="003B4426"/>
    <w:rsid w:val="003E24A5"/>
    <w:rsid w:val="003E31BA"/>
    <w:rsid w:val="003F6B09"/>
    <w:rsid w:val="004109C2"/>
    <w:rsid w:val="004148AE"/>
    <w:rsid w:val="00420CB8"/>
    <w:rsid w:val="004254E0"/>
    <w:rsid w:val="00452F85"/>
    <w:rsid w:val="00464A80"/>
    <w:rsid w:val="00490FAF"/>
    <w:rsid w:val="004B24FA"/>
    <w:rsid w:val="004C60F5"/>
    <w:rsid w:val="004D09D8"/>
    <w:rsid w:val="004E3135"/>
    <w:rsid w:val="004F706A"/>
    <w:rsid w:val="004F7E95"/>
    <w:rsid w:val="00517F1D"/>
    <w:rsid w:val="00525D08"/>
    <w:rsid w:val="00536B9F"/>
    <w:rsid w:val="00544EA6"/>
    <w:rsid w:val="005542B3"/>
    <w:rsid w:val="0058716C"/>
    <w:rsid w:val="005B0568"/>
    <w:rsid w:val="005C7985"/>
    <w:rsid w:val="005E3D00"/>
    <w:rsid w:val="005F0A7A"/>
    <w:rsid w:val="005F43F7"/>
    <w:rsid w:val="00613EA2"/>
    <w:rsid w:val="00634C37"/>
    <w:rsid w:val="006361C3"/>
    <w:rsid w:val="00654A62"/>
    <w:rsid w:val="006A7292"/>
    <w:rsid w:val="006F78A5"/>
    <w:rsid w:val="007106CC"/>
    <w:rsid w:val="007157DE"/>
    <w:rsid w:val="00731A25"/>
    <w:rsid w:val="00752A6C"/>
    <w:rsid w:val="00794393"/>
    <w:rsid w:val="007A1714"/>
    <w:rsid w:val="007B296F"/>
    <w:rsid w:val="007F62CD"/>
    <w:rsid w:val="008039CC"/>
    <w:rsid w:val="008108E8"/>
    <w:rsid w:val="00824983"/>
    <w:rsid w:val="0082539A"/>
    <w:rsid w:val="00825DD1"/>
    <w:rsid w:val="008262B8"/>
    <w:rsid w:val="0083349D"/>
    <w:rsid w:val="00861C1E"/>
    <w:rsid w:val="008A60E5"/>
    <w:rsid w:val="008C03E1"/>
    <w:rsid w:val="008D1686"/>
    <w:rsid w:val="008F60CE"/>
    <w:rsid w:val="009068F2"/>
    <w:rsid w:val="0091148A"/>
    <w:rsid w:val="00943574"/>
    <w:rsid w:val="00974EE8"/>
    <w:rsid w:val="00980400"/>
    <w:rsid w:val="009872B6"/>
    <w:rsid w:val="00993AAE"/>
    <w:rsid w:val="009B29E5"/>
    <w:rsid w:val="009C2B5E"/>
    <w:rsid w:val="009D15C6"/>
    <w:rsid w:val="00A04715"/>
    <w:rsid w:val="00A30258"/>
    <w:rsid w:val="00A375FB"/>
    <w:rsid w:val="00A5372A"/>
    <w:rsid w:val="00A65579"/>
    <w:rsid w:val="00A704F4"/>
    <w:rsid w:val="00A70CB7"/>
    <w:rsid w:val="00A77FA0"/>
    <w:rsid w:val="00A82196"/>
    <w:rsid w:val="00A90930"/>
    <w:rsid w:val="00A915D7"/>
    <w:rsid w:val="00A957B8"/>
    <w:rsid w:val="00AA0740"/>
    <w:rsid w:val="00AA5607"/>
    <w:rsid w:val="00AD702A"/>
    <w:rsid w:val="00AF1129"/>
    <w:rsid w:val="00AF5594"/>
    <w:rsid w:val="00B05E52"/>
    <w:rsid w:val="00B3335D"/>
    <w:rsid w:val="00B41850"/>
    <w:rsid w:val="00B41C88"/>
    <w:rsid w:val="00B70785"/>
    <w:rsid w:val="00BB47AC"/>
    <w:rsid w:val="00BD1FDA"/>
    <w:rsid w:val="00BF24BE"/>
    <w:rsid w:val="00C24AE6"/>
    <w:rsid w:val="00C3575D"/>
    <w:rsid w:val="00C365D8"/>
    <w:rsid w:val="00C440E0"/>
    <w:rsid w:val="00C528EE"/>
    <w:rsid w:val="00C552A2"/>
    <w:rsid w:val="00C56F05"/>
    <w:rsid w:val="00C649F4"/>
    <w:rsid w:val="00C724C5"/>
    <w:rsid w:val="00C769DC"/>
    <w:rsid w:val="00C81177"/>
    <w:rsid w:val="00C921C2"/>
    <w:rsid w:val="00CB0DA5"/>
    <w:rsid w:val="00CB4919"/>
    <w:rsid w:val="00CC3D6F"/>
    <w:rsid w:val="00D20720"/>
    <w:rsid w:val="00D26F6F"/>
    <w:rsid w:val="00D40681"/>
    <w:rsid w:val="00D63BB8"/>
    <w:rsid w:val="00DC0C77"/>
    <w:rsid w:val="00DC6713"/>
    <w:rsid w:val="00DD0190"/>
    <w:rsid w:val="00DD5971"/>
    <w:rsid w:val="00E233A3"/>
    <w:rsid w:val="00E26F05"/>
    <w:rsid w:val="00E34CEA"/>
    <w:rsid w:val="00E645F5"/>
    <w:rsid w:val="00E676E9"/>
    <w:rsid w:val="00E86447"/>
    <w:rsid w:val="00EA1314"/>
    <w:rsid w:val="00EA15F8"/>
    <w:rsid w:val="00ED4C0B"/>
    <w:rsid w:val="00F03EF0"/>
    <w:rsid w:val="00F17797"/>
    <w:rsid w:val="00F24D76"/>
    <w:rsid w:val="00F31D19"/>
    <w:rsid w:val="00F34711"/>
    <w:rsid w:val="00F41761"/>
    <w:rsid w:val="00F524FE"/>
    <w:rsid w:val="00F74D2A"/>
    <w:rsid w:val="00F82E6A"/>
    <w:rsid w:val="00FB0E1F"/>
    <w:rsid w:val="3F72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9D15C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6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96a76-302c-4e7c-9c4b-dbbba1c6eb82">
      <Terms xmlns="http://schemas.microsoft.com/office/infopath/2007/PartnerControls"/>
    </lcf76f155ced4ddcb4097134ff3c332f>
    <TaxCatchAll xmlns="50d9526c-e7b7-490c-92c1-10e345cbaa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EAD672638DCF4BBA7B37886D8A150B" ma:contentTypeVersion="13" ma:contentTypeDescription="Crie um novo documento." ma:contentTypeScope="" ma:versionID="287e3a55fc217c429cff469c3b2936dd">
  <xsd:schema xmlns:xsd="http://www.w3.org/2001/XMLSchema" xmlns:xs="http://www.w3.org/2001/XMLSchema" xmlns:p="http://schemas.microsoft.com/office/2006/metadata/properties" xmlns:ns2="48496a76-302c-4e7c-9c4b-dbbba1c6eb82" xmlns:ns3="50d9526c-e7b7-490c-92c1-10e345cbaa6e" targetNamespace="http://schemas.microsoft.com/office/2006/metadata/properties" ma:root="true" ma:fieldsID="e23a0cd1af98600b469ca91606480d2e" ns2:_="" ns3:_="">
    <xsd:import namespace="48496a76-302c-4e7c-9c4b-dbbba1c6eb82"/>
    <xsd:import namespace="50d9526c-e7b7-490c-92c1-10e345cb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96a76-302c-4e7c-9c4b-dbbba1c6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526c-e7b7-490c-92c1-10e345cba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bfd6d-b2b2-4c73-82e2-6d9378fdb38a}" ma:internalName="TaxCatchAll" ma:showField="CatchAllData" ma:web="50d9526c-e7b7-490c-92c1-10e345cba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48496a76-302c-4e7c-9c4b-dbbba1c6eb82"/>
    <ds:schemaRef ds:uri="50d9526c-e7b7-490c-92c1-10e345cbaa6e"/>
  </ds:schemaRefs>
</ds:datastoreItem>
</file>

<file path=customXml/itemProps2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AAA14-13B4-4424-8400-6E20787B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96a76-302c-4e7c-9c4b-dbbba1c6eb82"/>
    <ds:schemaRef ds:uri="50d9526c-e7b7-490c-92c1-10e345cb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SCNI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2026-05-20T12:54:00Z</cp:lastPrinted>
  <dcterms:created xsi:type="dcterms:W3CDTF">2026-05-20T17:53:00Z</dcterms:created>
  <dcterms:modified xsi:type="dcterms:W3CDTF">2026-05-20T17:58:00Z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0x01010003EAD672638DCF4BBA7B37886D8A150B</vt:lpwstr>
  </property>
  <property fmtid="{D5CDD505-2E9C-101B-9397-08002B2CF9AE}" pid="3" name="MediaServiceImageTags">
    <vt:lpwstr/>
  </property>
</Properties>
</file>