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0" w:type="dxa"/>
        <w:tblInd w:w="-214" w:type="dxa"/>
        <w:tblBorders>
          <w:top w:val="double" w:sz="4" w:space="0" w:color="auto"/>
          <w:left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0"/>
      </w:tblGrid>
      <w:tr w:rsidR="005778E7" w:rsidRPr="000268A2" w14:paraId="1F1EAAF7" w14:textId="77777777" w:rsidTr="008933A0">
        <w:trPr>
          <w:trHeight w:val="13648"/>
        </w:trPr>
        <w:tc>
          <w:tcPr>
            <w:tcW w:w="92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9843472" w14:textId="77777777" w:rsidR="004B524B" w:rsidRPr="000268A2" w:rsidRDefault="004B524B" w:rsidP="00505601">
            <w:pPr>
              <w:ind w:right="72"/>
              <w:jc w:val="center"/>
              <w:rPr>
                <w:rFonts w:ascii="Arial Narrow" w:hAnsi="Arial Narrow"/>
                <w:b/>
              </w:rPr>
            </w:pPr>
          </w:p>
          <w:p w14:paraId="5306A7C6" w14:textId="3D555335" w:rsidR="00505601" w:rsidRPr="000268A2" w:rsidRDefault="00943DD0" w:rsidP="00505601">
            <w:pPr>
              <w:ind w:right="72"/>
              <w:jc w:val="center"/>
              <w:rPr>
                <w:rFonts w:ascii="Arial Narrow" w:hAnsi="Arial Narrow"/>
                <w:b/>
              </w:rPr>
            </w:pPr>
            <w:r w:rsidRPr="000268A2">
              <w:rPr>
                <w:rFonts w:ascii="Arial Narrow" w:hAnsi="Arial Narrow"/>
                <w:b/>
              </w:rPr>
              <w:t xml:space="preserve">PREGÃO PRESENCIAL Nº </w:t>
            </w:r>
            <w:r w:rsidR="000C0266" w:rsidRPr="000268A2">
              <w:rPr>
                <w:rFonts w:ascii="Arial Narrow" w:hAnsi="Arial Narrow"/>
                <w:b/>
              </w:rPr>
              <w:t>1</w:t>
            </w:r>
            <w:r w:rsidRPr="000268A2">
              <w:rPr>
                <w:rFonts w:ascii="Arial Narrow" w:hAnsi="Arial Narrow"/>
                <w:b/>
              </w:rPr>
              <w:t>4/2021</w:t>
            </w:r>
          </w:p>
          <w:p w14:paraId="415F39FC" w14:textId="165D0939" w:rsidR="005778E7" w:rsidRPr="000268A2" w:rsidRDefault="005778E7" w:rsidP="00505601">
            <w:pPr>
              <w:ind w:right="72"/>
              <w:jc w:val="center"/>
              <w:rPr>
                <w:rFonts w:ascii="Arial Narrow" w:hAnsi="Arial Narrow"/>
                <w:b/>
              </w:rPr>
            </w:pPr>
            <w:r w:rsidRPr="000268A2">
              <w:rPr>
                <w:rFonts w:ascii="Arial Narrow" w:hAnsi="Arial Narrow"/>
                <w:b/>
              </w:rPr>
              <w:t>PRO-</w:t>
            </w:r>
            <w:r w:rsidR="000C0266" w:rsidRPr="000268A2">
              <w:rPr>
                <w:rFonts w:ascii="Arial Narrow" w:hAnsi="Arial Narrow"/>
                <w:b/>
              </w:rPr>
              <w:t>02150</w:t>
            </w:r>
            <w:r w:rsidR="00943DD0" w:rsidRPr="000268A2">
              <w:rPr>
                <w:rFonts w:ascii="Arial Narrow" w:hAnsi="Arial Narrow"/>
                <w:b/>
              </w:rPr>
              <w:t>/2021</w:t>
            </w:r>
          </w:p>
          <w:p w14:paraId="7D405754" w14:textId="06774F71" w:rsidR="00D15265" w:rsidRPr="000268A2" w:rsidRDefault="00D15265" w:rsidP="00505601">
            <w:pPr>
              <w:ind w:right="72"/>
              <w:jc w:val="center"/>
              <w:rPr>
                <w:rFonts w:ascii="Arial Narrow" w:hAnsi="Arial Narrow"/>
                <w:b/>
              </w:rPr>
            </w:pPr>
            <w:r w:rsidRPr="000268A2">
              <w:rPr>
                <w:rFonts w:ascii="Arial Narrow" w:hAnsi="Arial Narrow"/>
                <w:b/>
              </w:rPr>
              <w:t>JULGAMENTO DE IMPUGNAÇÃO</w:t>
            </w:r>
          </w:p>
          <w:p w14:paraId="2A2F4F4F" w14:textId="77777777" w:rsidR="004B524B" w:rsidRPr="000268A2" w:rsidRDefault="004B524B" w:rsidP="00505601">
            <w:pPr>
              <w:ind w:right="72"/>
              <w:jc w:val="center"/>
              <w:rPr>
                <w:rFonts w:ascii="Arial Narrow" w:hAnsi="Arial Narrow"/>
                <w:b/>
              </w:rPr>
            </w:pPr>
          </w:p>
          <w:tbl>
            <w:tblPr>
              <w:tblW w:w="0" w:type="auto"/>
              <w:tblInd w:w="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48"/>
              <w:gridCol w:w="7259"/>
            </w:tblGrid>
            <w:tr w:rsidR="005778E7" w:rsidRPr="000268A2" w14:paraId="6E11DCEA" w14:textId="77777777" w:rsidTr="00505601">
              <w:trPr>
                <w:trHeight w:val="690"/>
              </w:trPr>
              <w:tc>
                <w:tcPr>
                  <w:tcW w:w="1748" w:type="dxa"/>
                  <w:tcBorders>
                    <w:right w:val="single" w:sz="4" w:space="0" w:color="auto"/>
                  </w:tcBorders>
                  <w:vAlign w:val="center"/>
                </w:tcPr>
                <w:p w14:paraId="2863291A" w14:textId="77777777" w:rsidR="005778E7" w:rsidRPr="000268A2" w:rsidRDefault="008C7CB1" w:rsidP="008C7CB1">
                  <w:pPr>
                    <w:ind w:right="74"/>
                    <w:jc w:val="center"/>
                    <w:rPr>
                      <w:rFonts w:ascii="Arial Narrow" w:hAnsi="Arial Narrow" w:cs="Arial"/>
                      <w:b/>
                      <w:color w:val="000000" w:themeColor="text1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color w:val="000000" w:themeColor="text1"/>
                    </w:rPr>
                    <w:t>Objeto</w:t>
                  </w:r>
                </w:p>
              </w:tc>
              <w:tc>
                <w:tcPr>
                  <w:tcW w:w="7259" w:type="dxa"/>
                  <w:tcBorders>
                    <w:left w:val="single" w:sz="4" w:space="0" w:color="auto"/>
                  </w:tcBorders>
                  <w:vAlign w:val="center"/>
                </w:tcPr>
                <w:p w14:paraId="7F2CA062" w14:textId="014C7C75" w:rsidR="005778E7" w:rsidRPr="000268A2" w:rsidRDefault="000C0266" w:rsidP="00D15265">
                  <w:pPr>
                    <w:shd w:val="clear" w:color="auto" w:fill="FFFFFF"/>
                    <w:jc w:val="both"/>
                    <w:rPr>
                      <w:rFonts w:ascii="Arial Narrow" w:hAnsi="Arial Narrow"/>
                    </w:rPr>
                  </w:pPr>
                  <w:r w:rsidRPr="000268A2">
                    <w:rPr>
                      <w:rFonts w:ascii="Arial Narrow" w:hAnsi="Arial Narrow"/>
                      <w:color w:val="000000"/>
                    </w:rPr>
                    <w:t xml:space="preserve">Contratação de empresa para o fornecimento e instalação de Solução </w:t>
                  </w:r>
                  <w:proofErr w:type="spellStart"/>
                  <w:r w:rsidRPr="000268A2">
                    <w:rPr>
                      <w:rFonts w:ascii="Arial Narrow" w:hAnsi="Arial Narrow"/>
                      <w:color w:val="000000"/>
                    </w:rPr>
                    <w:t>Hiperconvergente</w:t>
                  </w:r>
                  <w:proofErr w:type="spellEnd"/>
                  <w:r w:rsidRPr="000268A2">
                    <w:rPr>
                      <w:rFonts w:ascii="Arial Narrow" w:hAnsi="Arial Narrow"/>
                      <w:color w:val="000000"/>
                    </w:rPr>
                    <w:t xml:space="preserve"> definido por software e respectivo licenciamento, incluindo manuais, drivers e de todos os cabos, acessórios, mídias e documentações necessários para a realização da instalação, garantia de funcionamento on-site, tendo por objetivo atender as necessidades de ampliação do parque atual de </w:t>
                  </w:r>
                  <w:proofErr w:type="spellStart"/>
                  <w:r w:rsidRPr="000268A2">
                    <w:rPr>
                      <w:rFonts w:ascii="Arial Narrow" w:hAnsi="Arial Narrow"/>
                      <w:color w:val="000000"/>
                    </w:rPr>
                    <w:t>hiperconvergência</w:t>
                  </w:r>
                  <w:proofErr w:type="spellEnd"/>
                  <w:r w:rsidRPr="000268A2">
                    <w:rPr>
                      <w:rFonts w:ascii="Arial Narrow" w:hAnsi="Arial Narrow"/>
                      <w:color w:val="000000"/>
                    </w:rPr>
                    <w:t xml:space="preserve"> dos órgãos e entidades nacionais do Sistema Industria, em conformidade com as descrições técnicas e exigências estabelecidas no Termo de Referência – Anexo I e seu Anexo IA e demais anexos do Edital</w:t>
                  </w:r>
                  <w:r w:rsidR="00943DD0" w:rsidRPr="000268A2">
                    <w:rPr>
                      <w:rFonts w:ascii="Arial Narrow" w:hAnsi="Arial Narrow"/>
                      <w:color w:val="000000"/>
                    </w:rPr>
                    <w:t>.</w:t>
                  </w:r>
                </w:p>
              </w:tc>
            </w:tr>
          </w:tbl>
          <w:p w14:paraId="550D1BBF" w14:textId="77777777" w:rsidR="007309B0" w:rsidRPr="000268A2" w:rsidRDefault="007309B0" w:rsidP="00505601">
            <w:pPr>
              <w:pStyle w:val="Corpodetexto2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72EE5A5B" w14:textId="77777777" w:rsidR="00740187" w:rsidRPr="000268A2" w:rsidRDefault="00CC5F56" w:rsidP="00B42B7B">
            <w:pPr>
              <w:pStyle w:val="Corpodetexto2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0268A2">
              <w:rPr>
                <w:rFonts w:ascii="Arial Narrow" w:hAnsi="Arial Narrow"/>
                <w:b/>
              </w:rPr>
              <w:t>I. DA IMPUGNAÇÃO</w:t>
            </w:r>
          </w:p>
          <w:p w14:paraId="143D6946" w14:textId="77777777" w:rsidR="003871DB" w:rsidRPr="000268A2" w:rsidRDefault="003871DB" w:rsidP="00B42B7B">
            <w:pPr>
              <w:pStyle w:val="Corpodetexto2"/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3D0D4B72" w14:textId="79C4F93B" w:rsidR="00CC5F56" w:rsidRPr="000268A2" w:rsidRDefault="00CC5F56" w:rsidP="00D24673">
            <w:pPr>
              <w:pStyle w:val="Corpodetexto2"/>
              <w:spacing w:after="0" w:line="240" w:lineRule="auto"/>
              <w:jc w:val="both"/>
              <w:rPr>
                <w:rFonts w:ascii="Arial Narrow" w:hAnsi="Arial Narrow"/>
              </w:rPr>
            </w:pPr>
            <w:r w:rsidRPr="000268A2">
              <w:rPr>
                <w:rFonts w:ascii="Arial Narrow" w:hAnsi="Arial Narrow"/>
              </w:rPr>
              <w:t xml:space="preserve">Trata-se de resposta à Impugnação, </w:t>
            </w:r>
            <w:r w:rsidR="00F66820" w:rsidRPr="000268A2">
              <w:rPr>
                <w:rFonts w:ascii="Arial Narrow" w:hAnsi="Arial Narrow"/>
              </w:rPr>
              <w:t xml:space="preserve">interposta por empresa </w:t>
            </w:r>
            <w:r w:rsidRPr="000268A2">
              <w:rPr>
                <w:rFonts w:ascii="Arial Narrow" w:hAnsi="Arial Narrow"/>
              </w:rPr>
              <w:t>interessada em participar da Licitação d</w:t>
            </w:r>
            <w:r w:rsidR="00943DD0" w:rsidRPr="000268A2">
              <w:rPr>
                <w:rFonts w:ascii="Arial Narrow" w:hAnsi="Arial Narrow"/>
              </w:rPr>
              <w:t>o</w:t>
            </w:r>
            <w:r w:rsidRPr="000268A2">
              <w:rPr>
                <w:rFonts w:ascii="Arial Narrow" w:hAnsi="Arial Narrow"/>
              </w:rPr>
              <w:t xml:space="preserve"> </w:t>
            </w:r>
            <w:r w:rsidR="00943DD0" w:rsidRPr="000268A2">
              <w:rPr>
                <w:rFonts w:ascii="Arial Narrow" w:hAnsi="Arial Narrow"/>
              </w:rPr>
              <w:t xml:space="preserve">Pregão </w:t>
            </w:r>
            <w:r w:rsidR="00F66820" w:rsidRPr="000268A2">
              <w:rPr>
                <w:rFonts w:ascii="Arial Narrow" w:hAnsi="Arial Narrow"/>
              </w:rPr>
              <w:t>Eletrônico</w:t>
            </w:r>
            <w:r w:rsidRPr="000268A2">
              <w:rPr>
                <w:rFonts w:ascii="Arial Narrow" w:hAnsi="Arial Narrow"/>
              </w:rPr>
              <w:t xml:space="preserve"> nº </w:t>
            </w:r>
            <w:r w:rsidR="000C0266" w:rsidRPr="000268A2">
              <w:rPr>
                <w:rFonts w:ascii="Arial Narrow" w:hAnsi="Arial Narrow"/>
              </w:rPr>
              <w:t>1</w:t>
            </w:r>
            <w:r w:rsidR="00943DD0" w:rsidRPr="000268A2">
              <w:rPr>
                <w:rFonts w:ascii="Arial Narrow" w:hAnsi="Arial Narrow"/>
              </w:rPr>
              <w:t>4</w:t>
            </w:r>
            <w:r w:rsidRPr="000268A2">
              <w:rPr>
                <w:rFonts w:ascii="Arial Narrow" w:hAnsi="Arial Narrow"/>
              </w:rPr>
              <w:t>/20</w:t>
            </w:r>
            <w:r w:rsidR="00943DD0" w:rsidRPr="000268A2">
              <w:rPr>
                <w:rFonts w:ascii="Arial Narrow" w:hAnsi="Arial Narrow"/>
              </w:rPr>
              <w:t>2</w:t>
            </w:r>
            <w:r w:rsidRPr="000268A2">
              <w:rPr>
                <w:rFonts w:ascii="Arial Narrow" w:hAnsi="Arial Narrow"/>
              </w:rPr>
              <w:t>1.</w:t>
            </w:r>
          </w:p>
          <w:tbl>
            <w:tblPr>
              <w:tblW w:w="997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125"/>
              <w:gridCol w:w="825"/>
            </w:tblGrid>
            <w:tr w:rsidR="00A1263B" w:rsidRPr="000268A2" w14:paraId="2B97778F" w14:textId="77777777" w:rsidTr="00AC1E5C">
              <w:trPr>
                <w:tblCellSpacing w:w="0" w:type="dxa"/>
              </w:trPr>
              <w:tc>
                <w:tcPr>
                  <w:tcW w:w="20" w:type="dxa"/>
                  <w:vMerge w:val="restart"/>
                  <w:shd w:val="clear" w:color="auto" w:fill="FFFFFF"/>
                  <w:vAlign w:val="center"/>
                  <w:hideMark/>
                </w:tcPr>
                <w:p w14:paraId="2C383359" w14:textId="77777777" w:rsidR="00A1263B" w:rsidRPr="000268A2" w:rsidRDefault="00A1263B" w:rsidP="00A1263B">
                  <w:pPr>
                    <w:rPr>
                      <w:rFonts w:ascii="Arial Narrow" w:hAnsi="Arial Narrow"/>
                      <w:lang w:eastAsia="pt-BR"/>
                    </w:rPr>
                  </w:pPr>
                </w:p>
              </w:tc>
              <w:tc>
                <w:tcPr>
                  <w:tcW w:w="9125" w:type="dxa"/>
                  <w:shd w:val="clear" w:color="auto" w:fill="FFFFFF"/>
                  <w:vAlign w:val="center"/>
                  <w:hideMark/>
                </w:tcPr>
                <w:p w14:paraId="0316AA10" w14:textId="77777777" w:rsidR="00A1263B" w:rsidRPr="000268A2" w:rsidRDefault="00A1263B" w:rsidP="00A1263B">
                  <w:pPr>
                    <w:rPr>
                      <w:rFonts w:ascii="Arial Narrow" w:hAnsi="Arial Narrow"/>
                      <w:lang w:eastAsia="pt-BR"/>
                    </w:rPr>
                  </w:pPr>
                </w:p>
              </w:tc>
              <w:tc>
                <w:tcPr>
                  <w:tcW w:w="825" w:type="dxa"/>
                  <w:vMerge w:val="restart"/>
                  <w:shd w:val="clear" w:color="auto" w:fill="FFFFFF"/>
                  <w:vAlign w:val="center"/>
                  <w:hideMark/>
                </w:tcPr>
                <w:p w14:paraId="1786DB4B" w14:textId="77777777" w:rsidR="00A1263B" w:rsidRPr="000268A2" w:rsidRDefault="00A1263B" w:rsidP="00A1263B">
                  <w:pPr>
                    <w:rPr>
                      <w:rFonts w:ascii="Arial Narrow" w:hAnsi="Arial Narrow"/>
                      <w:lang w:eastAsia="pt-BR"/>
                    </w:rPr>
                  </w:pPr>
                </w:p>
              </w:tc>
            </w:tr>
            <w:tr w:rsidR="000268A2" w:rsidRPr="000268A2" w14:paraId="6F921991" w14:textId="77777777" w:rsidTr="00AC1E5C">
              <w:trPr>
                <w:tblCellSpacing w:w="0" w:type="dxa"/>
              </w:trPr>
              <w:tc>
                <w:tcPr>
                  <w:tcW w:w="20" w:type="dxa"/>
                  <w:vMerge/>
                  <w:shd w:val="clear" w:color="auto" w:fill="FFFFFF"/>
                  <w:vAlign w:val="center"/>
                  <w:hideMark/>
                </w:tcPr>
                <w:p w14:paraId="6CD272FA" w14:textId="77777777" w:rsidR="00A1263B" w:rsidRPr="000268A2" w:rsidRDefault="00A1263B" w:rsidP="00A1263B">
                  <w:pPr>
                    <w:rPr>
                      <w:rFonts w:ascii="Arial Narrow" w:hAnsi="Arial Narrow"/>
                      <w:lang w:eastAsia="pt-BR"/>
                    </w:rPr>
                  </w:pPr>
                </w:p>
              </w:tc>
              <w:tc>
                <w:tcPr>
                  <w:tcW w:w="9125" w:type="dxa"/>
                  <w:shd w:val="clear" w:color="auto" w:fill="FFFFFF"/>
                  <w:vAlign w:val="center"/>
                  <w:hideMark/>
                </w:tcPr>
                <w:p w14:paraId="55CB3977" w14:textId="5F7BA092" w:rsidR="003B53BB" w:rsidRPr="000268A2" w:rsidRDefault="00A1263B" w:rsidP="00D24673">
                  <w:pPr>
                    <w:jc w:val="both"/>
                    <w:rPr>
                      <w:rFonts w:ascii="Arial Narrow" w:hAnsi="Arial Narrow" w:cs="Arial"/>
                    </w:rPr>
                  </w:pPr>
                  <w:r w:rsidRPr="000268A2">
                    <w:rPr>
                      <w:rFonts w:ascii="Arial Narrow" w:hAnsi="Arial Narrow" w:cs="Arial"/>
                    </w:rPr>
                    <w:t>A impugnação se insurge contra</w:t>
                  </w:r>
                  <w:r w:rsidR="003B53BB" w:rsidRPr="000268A2">
                    <w:rPr>
                      <w:rFonts w:ascii="Arial Narrow" w:hAnsi="Arial Narrow" w:cs="Arial"/>
                    </w:rPr>
                    <w:t>:</w:t>
                  </w:r>
                </w:p>
                <w:p w14:paraId="5DB26264" w14:textId="77777777" w:rsidR="003871DB" w:rsidRPr="000268A2" w:rsidRDefault="003871DB" w:rsidP="003871DB">
                  <w:pPr>
                    <w:jc w:val="both"/>
                    <w:rPr>
                      <w:rFonts w:ascii="Arial Narrow" w:hAnsi="Arial Narrow" w:cs="Arial"/>
                    </w:rPr>
                  </w:pPr>
                </w:p>
                <w:p w14:paraId="6091CC57" w14:textId="46CA21B1" w:rsidR="00A1263B" w:rsidRPr="000268A2" w:rsidRDefault="00473E13" w:rsidP="00D24673">
                  <w:pPr>
                    <w:pStyle w:val="PargrafodaLista"/>
                    <w:numPr>
                      <w:ilvl w:val="0"/>
                      <w:numId w:val="6"/>
                    </w:numPr>
                    <w:ind w:left="920" w:hanging="284"/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 w:rsidRPr="000268A2">
                    <w:rPr>
                      <w:rFonts w:ascii="Arial Narrow" w:hAnsi="Arial Narrow" w:cs="Arial"/>
                      <w:sz w:val="20"/>
                    </w:rPr>
                    <w:t>Vedação à participação de licitantes em regime de consórcio</w:t>
                  </w:r>
                  <w:r w:rsidR="003B53BB" w:rsidRPr="000268A2">
                    <w:rPr>
                      <w:rFonts w:ascii="Arial Narrow" w:hAnsi="Arial Narrow" w:cs="Arial"/>
                      <w:sz w:val="20"/>
                    </w:rPr>
                    <w:t>;</w:t>
                  </w:r>
                </w:p>
                <w:p w14:paraId="65E62EAA" w14:textId="237B6C24" w:rsidR="003B53BB" w:rsidRPr="000268A2" w:rsidRDefault="00473E13" w:rsidP="00D24673">
                  <w:pPr>
                    <w:pStyle w:val="PargrafodaLista"/>
                    <w:numPr>
                      <w:ilvl w:val="0"/>
                      <w:numId w:val="6"/>
                    </w:numPr>
                    <w:ind w:left="920" w:hanging="284"/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 w:rsidRPr="000268A2">
                    <w:rPr>
                      <w:rFonts w:ascii="Arial Narrow" w:hAnsi="Arial Narrow" w:cs="Arial"/>
                      <w:sz w:val="20"/>
                    </w:rPr>
                    <w:t>I</w:t>
                  </w:r>
                  <w:r w:rsidR="003B53BB" w:rsidRPr="000268A2">
                    <w:rPr>
                      <w:rFonts w:ascii="Arial Narrow" w:hAnsi="Arial Narrow" w:cs="Arial"/>
                      <w:sz w:val="20"/>
                    </w:rPr>
                    <w:t>nexistência de previsão de reajuste anual dos valores contratados;</w:t>
                  </w:r>
                </w:p>
                <w:p w14:paraId="77335FA7" w14:textId="2C75CC0A" w:rsidR="003B53BB" w:rsidRPr="000268A2" w:rsidRDefault="003B53BB" w:rsidP="00D24673">
                  <w:pPr>
                    <w:pStyle w:val="PargrafodaLista"/>
                    <w:numPr>
                      <w:ilvl w:val="0"/>
                      <w:numId w:val="6"/>
                    </w:numPr>
                    <w:ind w:left="920" w:hanging="284"/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 w:rsidRPr="000268A2">
                    <w:rPr>
                      <w:rFonts w:ascii="Arial Narrow" w:hAnsi="Arial Narrow" w:cs="Arial"/>
                      <w:sz w:val="20"/>
                    </w:rPr>
                    <w:t>Pagamento via nota fiscal com código de barras;</w:t>
                  </w:r>
                </w:p>
                <w:p w14:paraId="3E21740C" w14:textId="221A8281" w:rsidR="003B53BB" w:rsidRPr="000268A2" w:rsidRDefault="003B53BB" w:rsidP="00D24673">
                  <w:pPr>
                    <w:pStyle w:val="PargrafodaLista"/>
                    <w:numPr>
                      <w:ilvl w:val="0"/>
                      <w:numId w:val="6"/>
                    </w:numPr>
                    <w:ind w:left="920" w:hanging="284"/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 w:rsidRPr="000268A2">
                    <w:rPr>
                      <w:rFonts w:ascii="Arial Narrow" w:hAnsi="Arial Narrow" w:cs="Arial"/>
                      <w:sz w:val="20"/>
                    </w:rPr>
                    <w:t>Pagamento em caso de recusa do documento fiscal;</w:t>
                  </w:r>
                </w:p>
                <w:p w14:paraId="24E141F5" w14:textId="0EDEE7F6" w:rsidR="003B53BB" w:rsidRPr="000268A2" w:rsidRDefault="003B53BB" w:rsidP="00D24673">
                  <w:pPr>
                    <w:pStyle w:val="PargrafodaLista"/>
                    <w:numPr>
                      <w:ilvl w:val="0"/>
                      <w:numId w:val="6"/>
                    </w:numPr>
                    <w:ind w:left="920" w:hanging="284"/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 w:rsidRPr="000268A2">
                    <w:rPr>
                      <w:rFonts w:ascii="Arial Narrow" w:hAnsi="Arial Narrow" w:cs="Arial"/>
                      <w:sz w:val="20"/>
                    </w:rPr>
                    <w:t>Limitação da responsabilidade da contratada aos danos diretos comprovadamente causados à contratante</w:t>
                  </w:r>
                </w:p>
                <w:p w14:paraId="4951B255" w14:textId="6188C8B9" w:rsidR="003B53BB" w:rsidRPr="000268A2" w:rsidRDefault="003B53BB" w:rsidP="00D24673">
                  <w:pPr>
                    <w:pStyle w:val="PargrafodaLista"/>
                    <w:numPr>
                      <w:ilvl w:val="0"/>
                      <w:numId w:val="6"/>
                    </w:numPr>
                    <w:ind w:left="920" w:hanging="284"/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 w:rsidRPr="000268A2">
                    <w:rPr>
                      <w:rFonts w:ascii="Arial Narrow" w:hAnsi="Arial Narrow" w:cs="Arial"/>
                      <w:sz w:val="20"/>
                    </w:rPr>
                    <w:t>Inclusão de garantias à contratada em caso de inadimplência da contratante</w:t>
                  </w:r>
                  <w:r w:rsidR="00221241" w:rsidRPr="000268A2">
                    <w:rPr>
                      <w:rFonts w:ascii="Arial Narrow" w:hAnsi="Arial Narrow" w:cs="Arial"/>
                      <w:sz w:val="20"/>
                    </w:rPr>
                    <w:t>.</w:t>
                  </w:r>
                </w:p>
                <w:p w14:paraId="6FE4BD66" w14:textId="77777777" w:rsidR="003B53BB" w:rsidRPr="000268A2" w:rsidRDefault="003B53BB" w:rsidP="003B53BB">
                  <w:pPr>
                    <w:pStyle w:val="PargrafodaLista"/>
                    <w:jc w:val="both"/>
                    <w:rPr>
                      <w:rFonts w:ascii="Arial Narrow" w:hAnsi="Arial Narrow" w:cs="Arial"/>
                      <w:sz w:val="20"/>
                    </w:rPr>
                  </w:pPr>
                </w:p>
                <w:p w14:paraId="79125EA1" w14:textId="77777777" w:rsidR="00A1263B" w:rsidRPr="000268A2" w:rsidRDefault="00A1263B" w:rsidP="00A1263B">
                  <w:pPr>
                    <w:jc w:val="both"/>
                    <w:rPr>
                      <w:rFonts w:ascii="Arial Narrow" w:hAnsi="Arial Narrow"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II – CONSIDERAÇÕES</w:t>
                  </w:r>
                </w:p>
                <w:p w14:paraId="50C542A5" w14:textId="48DE4882" w:rsidR="00A1263B" w:rsidRPr="000268A2" w:rsidRDefault="00A1263B" w:rsidP="00A1263B">
                  <w:pPr>
                    <w:jc w:val="both"/>
                    <w:rPr>
                      <w:rFonts w:ascii="Arial Narrow" w:hAnsi="Arial Narrow"/>
                      <w:lang w:eastAsia="pt-BR"/>
                    </w:rPr>
                  </w:pPr>
                </w:p>
                <w:p w14:paraId="5621449F" w14:textId="7ED170EC" w:rsidR="00A1263B" w:rsidRPr="000268A2" w:rsidRDefault="00A80576" w:rsidP="00A1263B">
                  <w:pPr>
                    <w:jc w:val="both"/>
                    <w:rPr>
                      <w:rFonts w:ascii="Arial Narrow" w:hAnsi="Arial Narrow" w:cs="Arial"/>
                      <w:lang w:eastAsia="pt-BR"/>
                    </w:rPr>
                  </w:pPr>
                  <w:r w:rsidRPr="000268A2">
                    <w:rPr>
                      <w:rFonts w:ascii="Arial Narrow" w:hAnsi="Arial Narrow"/>
                    </w:rPr>
                    <w:t xml:space="preserve">De início, cumpre observar que a impugnação foi fundamentada na lei </w:t>
                  </w:r>
                  <w:r w:rsidR="000F79F1" w:rsidRPr="000268A2">
                    <w:rPr>
                      <w:rFonts w:ascii="Arial Narrow" w:hAnsi="Arial Narrow"/>
                    </w:rPr>
                    <w:t xml:space="preserve">nº </w:t>
                  </w:r>
                  <w:r w:rsidRPr="000268A2">
                    <w:rPr>
                      <w:rFonts w:ascii="Arial Narrow" w:hAnsi="Arial Narrow"/>
                    </w:rPr>
                    <w:t>8.666/93. O SESI e o SENAI, ao contrário do que foi alegado, não devem obediência, nem subsidiariamente, à lei</w:t>
                  </w:r>
                  <w:r w:rsidR="001F10E1" w:rsidRPr="000268A2">
                    <w:rPr>
                      <w:rFonts w:ascii="Arial Narrow" w:hAnsi="Arial Narrow"/>
                    </w:rPr>
                    <w:t xml:space="preserve"> nº</w:t>
                  </w:r>
                  <w:r w:rsidRPr="000268A2">
                    <w:rPr>
                      <w:rFonts w:ascii="Arial Narrow" w:hAnsi="Arial Narrow"/>
                    </w:rPr>
                    <w:t xml:space="preserve"> 8.666/93. Por tratar-se de entes privados, as regras que regem suas licitações, consolidadas no Regulamento de Licitações e Contratos (RLC) do SESI e do SENAI, decorrem de autorregulamentação. Além disso, o princípio da legalidade aplicado não é o de direito público, </w:t>
                  </w:r>
                  <w:r w:rsidR="00A92BEB" w:rsidRPr="000268A2">
                    <w:rPr>
                      <w:rFonts w:ascii="Arial Narrow" w:hAnsi="Arial Narrow"/>
                    </w:rPr>
                    <w:t>visto possuírem personalidade jurídica de direito privado</w:t>
                  </w:r>
                  <w:r w:rsidRPr="000268A2">
                    <w:rPr>
                      <w:rFonts w:ascii="Arial Narrow" w:hAnsi="Arial Narrow"/>
                    </w:rPr>
                    <w:t>.</w:t>
                  </w:r>
                </w:p>
                <w:p w14:paraId="435BF424" w14:textId="0FE1F091" w:rsidR="00A80576" w:rsidRPr="000268A2" w:rsidRDefault="00A80576" w:rsidP="00A1263B">
                  <w:pPr>
                    <w:jc w:val="both"/>
                    <w:rPr>
                      <w:rFonts w:ascii="Arial Narrow" w:hAnsi="Arial Narrow"/>
                    </w:rPr>
                  </w:pPr>
                </w:p>
                <w:p w14:paraId="132A0665" w14:textId="7B804E81" w:rsidR="00D24673" w:rsidRPr="000268A2" w:rsidRDefault="00D24673" w:rsidP="00A1263B">
                  <w:pPr>
                    <w:jc w:val="both"/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III – DOS FATOS</w:t>
                  </w:r>
                </w:p>
                <w:p w14:paraId="0450B39D" w14:textId="77777777" w:rsidR="00D24673" w:rsidRPr="000268A2" w:rsidRDefault="00D24673" w:rsidP="00A1263B">
                  <w:pPr>
                    <w:jc w:val="both"/>
                    <w:rPr>
                      <w:rFonts w:ascii="Arial Narrow" w:hAnsi="Arial Narrow" w:cs="Arial"/>
                      <w:lang w:eastAsia="pt-BR"/>
                    </w:rPr>
                  </w:pPr>
                </w:p>
                <w:p w14:paraId="42451D4A" w14:textId="4ED0E34D" w:rsidR="00A1263B" w:rsidRPr="000268A2" w:rsidRDefault="00A80576" w:rsidP="00C876B4">
                  <w:pPr>
                    <w:jc w:val="both"/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Alegação 1 -</w:t>
                  </w:r>
                  <w:r w:rsidR="00A92BEB" w:rsidRPr="000268A2">
                    <w:rPr>
                      <w:rFonts w:ascii="Arial Narrow" w:hAnsi="Arial Narrow" w:cs="Arial"/>
                      <w:lang w:eastAsia="pt-BR"/>
                    </w:rPr>
                    <w:t xml:space="preserve"> </w:t>
                  </w:r>
                  <w:r w:rsidR="003871DB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VEDAÇÃO À PARTICIPAÇÃO DE LICITANTES EM REGIME DE CONSÓRCIO</w:t>
                  </w:r>
                </w:p>
                <w:p w14:paraId="7B97C9BD" w14:textId="2BF44AC6" w:rsidR="002C7A2A" w:rsidRPr="000268A2" w:rsidRDefault="002C7A2A" w:rsidP="002C7A2A">
                  <w:pPr>
                    <w:jc w:val="both"/>
                    <w:rPr>
                      <w:rFonts w:ascii="Arial Narrow" w:hAnsi="Arial Narrow" w:cs="Arial"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lang w:eastAsia="pt-BR"/>
                    </w:rPr>
                    <w:t xml:space="preserve">A impugnante alega: </w:t>
                  </w:r>
                </w:p>
                <w:p w14:paraId="55E5660B" w14:textId="77777777" w:rsidR="002C7A2A" w:rsidRPr="000268A2" w:rsidRDefault="002C7A2A" w:rsidP="002C7A2A">
                  <w:pPr>
                    <w:jc w:val="both"/>
                    <w:rPr>
                      <w:rFonts w:ascii="Arial Narrow" w:hAnsi="Arial Narrow" w:cs="Arial"/>
                      <w:lang w:eastAsia="pt-BR"/>
                    </w:rPr>
                  </w:pPr>
                </w:p>
                <w:p w14:paraId="3281801D" w14:textId="4BBF331E" w:rsidR="002179EA" w:rsidRPr="000268A2" w:rsidRDefault="002C7A2A" w:rsidP="00AC1E5C">
                  <w:pPr>
                    <w:ind w:left="1680"/>
                    <w:jc w:val="both"/>
                    <w:rPr>
                      <w:rFonts w:ascii="Arial Narrow" w:hAnsi="Arial Narrow"/>
                      <w:i/>
                      <w:iCs/>
                    </w:rPr>
                  </w:pPr>
                  <w:r w:rsidRPr="000268A2">
                    <w:rPr>
                      <w:rFonts w:ascii="Arial Narrow" w:hAnsi="Arial Narrow"/>
                      <w:i/>
                      <w:iCs/>
                    </w:rPr>
                    <w:t xml:space="preserve">(...) </w:t>
                  </w:r>
                  <w:r w:rsidR="002179EA" w:rsidRPr="000268A2">
                    <w:rPr>
                      <w:rFonts w:ascii="Arial Narrow" w:hAnsi="Arial Narrow"/>
                      <w:i/>
                      <w:iCs/>
                    </w:rPr>
                    <w:t>Da mesma forma, não deve haver restrições quanto ao consórcio de empresas que sejam coligadas, controladoras e controladas. Isso porque, decorrente das particularidades do mercado e da economia globalizada, é comum a existência no âmbito das telecomunicações conglomerados econômicos que necessitam dessa ferramenta jurídica para participarem das licitações. Frise-se que muitas das vezes a prestação do serviço por empresa isolada não é o suficiente, necessitando da atuação em conjunto para a consecução do objeto da licitação.</w:t>
                  </w:r>
                </w:p>
                <w:p w14:paraId="75510723" w14:textId="77777777" w:rsidR="002179EA" w:rsidRPr="000268A2" w:rsidRDefault="002179EA" w:rsidP="00C876B4">
                  <w:pPr>
                    <w:jc w:val="both"/>
                    <w:rPr>
                      <w:rFonts w:ascii="Arial Narrow" w:hAnsi="Arial Narrow"/>
                      <w:i/>
                      <w:iCs/>
                    </w:rPr>
                  </w:pPr>
                </w:p>
                <w:p w14:paraId="2767FF17" w14:textId="0B735ECF" w:rsidR="009544F5" w:rsidRPr="000268A2" w:rsidRDefault="002179EA" w:rsidP="00AC1E5C">
                  <w:pPr>
                    <w:ind w:left="1680"/>
                    <w:jc w:val="both"/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</w:pPr>
                  <w:r w:rsidRPr="000268A2">
                    <w:rPr>
                      <w:rFonts w:ascii="Arial Narrow" w:hAnsi="Arial Narrow"/>
                      <w:i/>
                      <w:iCs/>
                    </w:rPr>
                    <w:t>Ante o exposto, de forma a possibilitar a participação de um maior número de empresas no certame, garantindo a sua competitividade e a busca pela proposta mais vantajosa à Administração Pública, requer a exclusão do item em comento, para que seja permitida a participação em consórcio de empresas do mesmo grupo, nos termos do art. 33 da Lei n.º 8.666/93</w:t>
                  </w:r>
                  <w:r w:rsidRPr="000268A2">
                    <w:rPr>
                      <w:rFonts w:ascii="Arial Narrow" w:hAnsi="Arial Narrow"/>
                    </w:rPr>
                    <w:t>.</w:t>
                  </w:r>
                </w:p>
                <w:p w14:paraId="74A9102B" w14:textId="6CA3F9F8" w:rsidR="003D369E" w:rsidRPr="000268A2" w:rsidRDefault="003D369E" w:rsidP="003D369E">
                  <w:pPr>
                    <w:jc w:val="both"/>
                    <w:rPr>
                      <w:rFonts w:ascii="Arial Narrow" w:hAnsi="Arial Narrow"/>
                      <w:lang w:eastAsia="pt-BR"/>
                    </w:rPr>
                  </w:pPr>
                </w:p>
                <w:p w14:paraId="7073510A" w14:textId="3F785E6C" w:rsidR="006E436F" w:rsidRPr="000268A2" w:rsidRDefault="004F5BF1" w:rsidP="006E436F">
                  <w:pPr>
                    <w:jc w:val="both"/>
                    <w:rPr>
                      <w:rFonts w:ascii="Arial Narrow" w:hAnsi="Arial Narrow" w:cs="Arial"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Resposta alegação 1: </w:t>
                  </w:r>
                  <w:r w:rsidR="001F076A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A Alegação é Improcedente - </w:t>
                  </w:r>
                  <w:r w:rsidR="00DA68CB" w:rsidRPr="000268A2">
                    <w:rPr>
                      <w:rFonts w:ascii="Arial Narrow" w:hAnsi="Arial Narrow"/>
                    </w:rPr>
                    <w:t xml:space="preserve">A Comissão Permanente de Licitação </w:t>
                  </w:r>
                  <w:r w:rsidR="00DA68CB" w:rsidRPr="000268A2">
                    <w:rPr>
                      <w:rFonts w:ascii="Arial Narrow" w:hAnsi="Arial Narrow" w:cs="Arial"/>
                      <w:lang w:eastAsia="pt-BR"/>
                    </w:rPr>
                    <w:t>informa que a conveniência de admitir a participação de Empresas enquadradas nas modalidades de Consórcio, em procedimento licitatório</w:t>
                  </w:r>
                  <w:r w:rsidR="006E436F" w:rsidRPr="000268A2">
                    <w:rPr>
                      <w:rFonts w:ascii="Arial Narrow" w:hAnsi="Arial Narrow" w:cs="Arial"/>
                      <w:lang w:eastAsia="pt-BR"/>
                    </w:rPr>
                    <w:t>,</w:t>
                  </w:r>
                  <w:r w:rsidR="00DA68CB" w:rsidRPr="000268A2">
                    <w:rPr>
                      <w:rFonts w:ascii="Arial Narrow" w:hAnsi="Arial Narrow" w:cs="Arial"/>
                      <w:lang w:eastAsia="pt-BR"/>
                    </w:rPr>
                    <w:t xml:space="preserve"> </w:t>
                  </w:r>
                  <w:r w:rsidR="00A81D2A" w:rsidRPr="000268A2">
                    <w:rPr>
                      <w:rFonts w:ascii="Arial Narrow" w:hAnsi="Arial Narrow" w:cs="Arial"/>
                      <w:lang w:eastAsia="pt-BR"/>
                    </w:rPr>
                    <w:t xml:space="preserve">é uma </w:t>
                  </w:r>
                  <w:r w:rsidR="00DA68CB" w:rsidRPr="000268A2">
                    <w:rPr>
                      <w:rFonts w:ascii="Arial Narrow" w:hAnsi="Arial Narrow" w:cs="Arial"/>
                      <w:lang w:eastAsia="pt-BR"/>
                    </w:rPr>
                    <w:t>decisão</w:t>
                  </w:r>
                  <w:r w:rsidR="006E436F" w:rsidRPr="000268A2">
                    <w:rPr>
                      <w:rFonts w:ascii="Arial Narrow" w:hAnsi="Arial Narrow" w:cs="Arial"/>
                      <w:lang w:eastAsia="pt-BR"/>
                    </w:rPr>
                    <w:t xml:space="preserve"> </w:t>
                  </w:r>
                  <w:r w:rsidR="00DA68CB" w:rsidRPr="000268A2">
                    <w:rPr>
                      <w:rFonts w:ascii="Arial Narrow" w:hAnsi="Arial Narrow" w:cs="Arial"/>
                      <w:lang w:eastAsia="pt-BR"/>
                    </w:rPr>
                    <w:t>discricionária</w:t>
                  </w:r>
                  <w:r w:rsidR="00A81D2A" w:rsidRPr="000268A2">
                    <w:rPr>
                      <w:rFonts w:ascii="Arial Narrow" w:hAnsi="Arial Narrow" w:cs="Arial"/>
                      <w:lang w:eastAsia="pt-BR"/>
                    </w:rPr>
                    <w:t xml:space="preserve"> dos Contratantes</w:t>
                  </w:r>
                  <w:r w:rsidR="006E436F" w:rsidRPr="000268A2">
                    <w:rPr>
                      <w:rFonts w:ascii="Arial Narrow" w:hAnsi="Arial Narrow" w:cs="Arial"/>
                      <w:lang w:eastAsia="pt-BR"/>
                    </w:rPr>
                    <w:t xml:space="preserve">. </w:t>
                  </w:r>
                </w:p>
                <w:p w14:paraId="1364A7BB" w14:textId="77777777" w:rsidR="006E436F" w:rsidRPr="000268A2" w:rsidRDefault="006E436F" w:rsidP="006E436F">
                  <w:pPr>
                    <w:ind w:left="1680"/>
                    <w:jc w:val="both"/>
                    <w:rPr>
                      <w:rFonts w:ascii="Arial Narrow" w:hAnsi="Arial Narrow" w:cs="Arial"/>
                      <w:i/>
                      <w:iCs/>
                      <w:lang w:eastAsia="pt-BR"/>
                    </w:rPr>
                  </w:pPr>
                </w:p>
                <w:p w14:paraId="171FF341" w14:textId="16CBBECA" w:rsidR="00A81D2A" w:rsidRPr="000268A2" w:rsidRDefault="00DA68CB" w:rsidP="00A81D2A">
                  <w:pPr>
                    <w:jc w:val="both"/>
                    <w:rPr>
                      <w:rFonts w:ascii="Arial Narrow" w:hAnsi="Arial Narrow" w:cs="Arial"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lang w:eastAsia="pt-BR"/>
                    </w:rPr>
                    <w:t>A</w:t>
                  </w:r>
                  <w:r w:rsidR="00A81D2A" w:rsidRPr="000268A2">
                    <w:rPr>
                      <w:rFonts w:ascii="Arial Narrow" w:hAnsi="Arial Narrow" w:cs="Arial"/>
                      <w:lang w:eastAsia="pt-BR"/>
                    </w:rPr>
                    <w:t>demais, a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 xml:space="preserve"> vedação quanto à participação de consórcio de empresas no presente procedimento licitatório não limitará a competitividade</w:t>
                  </w:r>
                  <w:r w:rsidR="00A81D2A" w:rsidRPr="000268A2">
                    <w:rPr>
                      <w:rFonts w:ascii="Arial Narrow" w:hAnsi="Arial Narrow" w:cs="Arial"/>
                      <w:lang w:eastAsia="pt-BR"/>
                    </w:rPr>
                    <w:t>, pois entendemos que a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 xml:space="preserve"> participação de consórcios é recomendável quando o objeto considerado for “</w:t>
                  </w:r>
                  <w:r w:rsidRPr="000268A2">
                    <w:rPr>
                      <w:rFonts w:ascii="Arial Narrow" w:hAnsi="Arial Narrow"/>
                      <w:i/>
                      <w:iCs/>
                      <w:lang w:eastAsia="pt-BR"/>
                    </w:rPr>
                    <w:t>de alta complexidade ou vulto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 xml:space="preserve">”, o que não </w:t>
                  </w:r>
                  <w:r w:rsidR="00A81D2A" w:rsidRPr="000268A2">
                    <w:rPr>
                      <w:rFonts w:ascii="Arial Narrow" w:hAnsi="Arial Narrow" w:cs="Arial"/>
                      <w:lang w:eastAsia="pt-BR"/>
                    </w:rPr>
                    <w:t>é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 xml:space="preserve"> o caso do objeto sob exame</w:t>
                  </w:r>
                  <w:r w:rsidR="00A81D2A" w:rsidRPr="000268A2">
                    <w:rPr>
                      <w:rFonts w:ascii="Arial Narrow" w:hAnsi="Arial Narrow" w:cs="Arial"/>
                      <w:lang w:eastAsia="pt-BR"/>
                    </w:rPr>
                    <w:t>, ou seja, não há nenhuma característica própria que justifique a admissão de empresas em consórcio.</w:t>
                  </w:r>
                </w:p>
                <w:p w14:paraId="6E454AAD" w14:textId="77777777" w:rsidR="00A81D2A" w:rsidRPr="000268A2" w:rsidRDefault="00A81D2A" w:rsidP="006E436F">
                  <w:pPr>
                    <w:jc w:val="both"/>
                    <w:rPr>
                      <w:rFonts w:ascii="Arial Narrow" w:hAnsi="Arial Narrow" w:cs="Arial"/>
                      <w:lang w:eastAsia="pt-BR"/>
                    </w:rPr>
                  </w:pPr>
                </w:p>
                <w:p w14:paraId="680F6CEC" w14:textId="5C630F7B" w:rsidR="006E436F" w:rsidRPr="000268A2" w:rsidRDefault="00DA68CB" w:rsidP="006E436F">
                  <w:pPr>
                    <w:jc w:val="both"/>
                    <w:rPr>
                      <w:rFonts w:ascii="Arial Narrow" w:hAnsi="Arial Narrow" w:cs="Arial"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lang w:eastAsia="pt-BR"/>
                    </w:rPr>
                    <w:lastRenderedPageBreak/>
                    <w:t>A admissão de consórcio em objeto de baixa complexidade e de pequeno valor econômico atenta contra o princípio da competitividade, pois permitiria, com o aval</w:t>
                  </w:r>
                  <w:r w:rsidR="006E436F" w:rsidRPr="000268A2">
                    <w:rPr>
                      <w:rFonts w:ascii="Arial Narrow" w:hAnsi="Arial Narrow" w:cs="Arial"/>
                      <w:lang w:eastAsia="pt-BR"/>
                    </w:rPr>
                    <w:t xml:space="preserve"> d</w:t>
                  </w:r>
                  <w:r w:rsidR="00A81D2A" w:rsidRPr="000268A2">
                    <w:rPr>
                      <w:rFonts w:ascii="Arial Narrow" w:hAnsi="Arial Narrow" w:cs="Arial"/>
                      <w:lang w:eastAsia="pt-BR"/>
                    </w:rPr>
                    <w:t>os Contratantes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>, a união de concorrentes que poderiam muito bem disputar entre si, violando, por via transversa, o princ</w:t>
                  </w:r>
                  <w:r w:rsidR="006E436F" w:rsidRPr="000268A2">
                    <w:rPr>
                      <w:rFonts w:ascii="Arial Narrow" w:hAnsi="Arial Narrow" w:cs="Arial"/>
                      <w:lang w:eastAsia="pt-BR"/>
                    </w:rPr>
                    <w:t>í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 xml:space="preserve">pio da competitividade, </w:t>
                  </w:r>
                  <w:r w:rsidR="00A81D2A" w:rsidRPr="000268A2">
                    <w:rPr>
                      <w:rFonts w:ascii="Arial Narrow" w:hAnsi="Arial Narrow" w:cs="Arial"/>
                      <w:lang w:eastAsia="pt-BR"/>
                    </w:rPr>
                    <w:t>podendo comprometer,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 xml:space="preserve"> ainda</w:t>
                  </w:r>
                  <w:r w:rsidR="00A81D2A" w:rsidRPr="000268A2">
                    <w:rPr>
                      <w:rFonts w:ascii="Arial Narrow" w:hAnsi="Arial Narrow" w:cs="Arial"/>
                      <w:lang w:eastAsia="pt-BR"/>
                    </w:rPr>
                    <w:t>,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 xml:space="preserve"> a vantajosidade buscada </w:t>
                  </w:r>
                  <w:r w:rsidR="006E436F" w:rsidRPr="000268A2">
                    <w:rPr>
                      <w:rFonts w:ascii="Arial Narrow" w:hAnsi="Arial Narrow" w:cs="Arial"/>
                      <w:lang w:eastAsia="pt-BR"/>
                    </w:rPr>
                    <w:t>n</w:t>
                  </w:r>
                  <w:r w:rsidR="00A81D2A" w:rsidRPr="000268A2">
                    <w:rPr>
                      <w:rFonts w:ascii="Arial Narrow" w:hAnsi="Arial Narrow" w:cs="Arial"/>
                      <w:lang w:eastAsia="pt-BR"/>
                    </w:rPr>
                    <w:t>a</w:t>
                  </w:r>
                  <w:r w:rsidR="006E436F" w:rsidRPr="000268A2">
                    <w:rPr>
                      <w:rFonts w:ascii="Arial Narrow" w:hAnsi="Arial Narrow" w:cs="Arial"/>
                      <w:lang w:eastAsia="pt-BR"/>
                    </w:rPr>
                    <w:t xml:space="preserve"> licitação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>.</w:t>
                  </w:r>
                </w:p>
                <w:p w14:paraId="51D8FB58" w14:textId="77777777" w:rsidR="006E436F" w:rsidRPr="000268A2" w:rsidRDefault="006E436F" w:rsidP="006E436F">
                  <w:pPr>
                    <w:jc w:val="both"/>
                    <w:rPr>
                      <w:rFonts w:ascii="Arial Narrow" w:hAnsi="Arial Narrow" w:cs="Arial"/>
                      <w:lang w:eastAsia="pt-BR"/>
                    </w:rPr>
                  </w:pPr>
                </w:p>
                <w:p w14:paraId="3F89F1D2" w14:textId="40F0167E" w:rsidR="00A94F15" w:rsidRPr="000268A2" w:rsidRDefault="00A94F15" w:rsidP="001B12A9">
                  <w:pPr>
                    <w:jc w:val="both"/>
                    <w:rPr>
                      <w:rFonts w:ascii="Arial Narrow" w:hAnsi="Arial Narrow" w:cs="Arial"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lang w:eastAsia="pt-BR"/>
                    </w:rPr>
                    <w:t xml:space="preserve">Nesse sentido </w:t>
                  </w:r>
                  <w:r w:rsidR="00A81D2A" w:rsidRPr="000268A2">
                    <w:rPr>
                      <w:rFonts w:ascii="Arial Narrow" w:hAnsi="Arial Narrow" w:cs="Arial"/>
                      <w:lang w:eastAsia="pt-BR"/>
                    </w:rPr>
                    <w:t>a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 xml:space="preserve"> CPL mantém o entendimento acerca da </w:t>
                  </w:r>
                  <w:r w:rsidR="00A81D2A" w:rsidRPr="000268A2">
                    <w:rPr>
                      <w:rFonts w:ascii="Arial Narrow" w:hAnsi="Arial Narrow" w:cs="Arial"/>
                      <w:lang w:eastAsia="pt-BR"/>
                    </w:rPr>
                    <w:t>vedação de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 xml:space="preserve"> participação de consórcio no presente certame.</w:t>
                  </w:r>
                </w:p>
                <w:p w14:paraId="5063B1E5" w14:textId="1BAC8512" w:rsidR="00DA68CB" w:rsidRPr="000268A2" w:rsidRDefault="00DA68CB" w:rsidP="003D369E">
                  <w:pPr>
                    <w:jc w:val="both"/>
                    <w:rPr>
                      <w:rFonts w:ascii="Arial Narrow" w:hAnsi="Arial Narrow"/>
                      <w:lang w:eastAsia="pt-BR"/>
                    </w:rPr>
                  </w:pPr>
                </w:p>
                <w:p w14:paraId="28A73CBE" w14:textId="776451B9" w:rsidR="003D369E" w:rsidRPr="000268A2" w:rsidRDefault="002179EA" w:rsidP="00C876B4">
                  <w:pPr>
                    <w:jc w:val="both"/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Alegação 2 - </w:t>
                  </w:r>
                  <w:r w:rsidR="003D369E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INEXISTÊNCIA DE PREVISÃO DE REAJUSTE ANUAL DOS VALORES CONTRATADOS</w:t>
                  </w:r>
                </w:p>
                <w:p w14:paraId="1FA6DB34" w14:textId="5B40F229" w:rsidR="003D369E" w:rsidRPr="000268A2" w:rsidRDefault="004C3037" w:rsidP="003D369E">
                  <w:pPr>
                    <w:jc w:val="both"/>
                    <w:rPr>
                      <w:rFonts w:ascii="Arial Narrow" w:hAnsi="Arial Narrow"/>
                    </w:rPr>
                  </w:pPr>
                  <w:r w:rsidRPr="000268A2">
                    <w:rPr>
                      <w:rFonts w:ascii="Arial Narrow" w:hAnsi="Arial Narrow"/>
                    </w:rPr>
                    <w:t>A licitante questiona a falta de</w:t>
                  </w:r>
                  <w:r w:rsidR="00EE0951" w:rsidRPr="000268A2">
                    <w:rPr>
                      <w:rFonts w:ascii="Arial Narrow" w:hAnsi="Arial Narrow"/>
                    </w:rPr>
                    <w:t xml:space="preserve"> previsão de reajuste dos valores a serem pagos pela Administração Pública pelos serviços prestados pela Contratada, em afronta a toda a legislação brasileira que defende o equilíbrio econômico-financeiro entre as partes, sendo esta regra inafastável.</w:t>
                  </w:r>
                </w:p>
                <w:p w14:paraId="6D79AE21" w14:textId="701A2C02" w:rsidR="00C03684" w:rsidRPr="000268A2" w:rsidRDefault="00C03684" w:rsidP="003D369E">
                  <w:pPr>
                    <w:jc w:val="both"/>
                    <w:rPr>
                      <w:rFonts w:ascii="Arial Narrow" w:hAnsi="Arial Narrow"/>
                    </w:rPr>
                  </w:pPr>
                </w:p>
                <w:p w14:paraId="214B0745" w14:textId="10C68DB1" w:rsidR="004F5BF1" w:rsidRPr="000268A2" w:rsidRDefault="004F5BF1" w:rsidP="004F5BF1">
                  <w:pPr>
                    <w:jc w:val="both"/>
                    <w:rPr>
                      <w:rFonts w:ascii="Arial Narrow" w:hAnsi="Arial Narrow" w:cs="Arial"/>
                      <w:highlight w:val="yellow"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Resposta alegação 2: </w:t>
                  </w:r>
                  <w:r w:rsidR="00A81D2A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A Alegação é Improcedente</w:t>
                  </w:r>
                  <w:r w:rsidR="00C2200B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 - 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 xml:space="preserve">Nesta contratação não há que se falar em reajuste de valores, uma vez que os equipamentos </w:t>
                  </w:r>
                  <w:r w:rsidR="00C2200B" w:rsidRPr="000268A2">
                    <w:rPr>
                      <w:rFonts w:ascii="Arial Narrow" w:hAnsi="Arial Narrow" w:cs="Arial"/>
                      <w:lang w:eastAsia="pt-BR"/>
                    </w:rPr>
                    <w:t xml:space="preserve">deverão 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>ser entregues de uma única vez</w:t>
                  </w:r>
                  <w:r w:rsidR="00C2200B" w:rsidRPr="000268A2">
                    <w:rPr>
                      <w:rFonts w:ascii="Arial Narrow" w:hAnsi="Arial Narrow" w:cs="Arial"/>
                      <w:lang w:eastAsia="pt-BR"/>
                    </w:rPr>
                    <w:t xml:space="preserve"> e</w:t>
                  </w:r>
                  <w:r w:rsidR="001B12A9" w:rsidRPr="000268A2">
                    <w:rPr>
                      <w:rFonts w:ascii="Arial Narrow" w:hAnsi="Arial Narrow" w:cs="Arial"/>
                      <w:lang w:eastAsia="pt-BR"/>
                    </w:rPr>
                    <w:t xml:space="preserve"> o pagamento se dará no mês subsequente ao do recebimento definitivo da solução, conforme item 4.2 do Anexo III do Edital</w:t>
                  </w:r>
                  <w:r w:rsidRPr="000268A2">
                    <w:rPr>
                      <w:rFonts w:ascii="Arial Narrow" w:hAnsi="Arial Narrow" w:cs="Arial"/>
                      <w:lang w:eastAsia="pt-BR"/>
                    </w:rPr>
                    <w:t>.</w:t>
                  </w:r>
                </w:p>
                <w:p w14:paraId="196EF68A" w14:textId="77777777" w:rsidR="004F5BF1" w:rsidRPr="000268A2" w:rsidRDefault="004F5BF1" w:rsidP="004F5BF1">
                  <w:pPr>
                    <w:jc w:val="both"/>
                    <w:rPr>
                      <w:rFonts w:ascii="Arial Narrow" w:hAnsi="Arial Narrow" w:cs="Arial"/>
                    </w:rPr>
                  </w:pPr>
                </w:p>
                <w:p w14:paraId="2A22E49F" w14:textId="77777777" w:rsidR="00700191" w:rsidRPr="000268A2" w:rsidRDefault="00C93EEE" w:rsidP="00C876B4">
                  <w:pPr>
                    <w:jc w:val="both"/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Alegação 3 -</w:t>
                  </w:r>
                  <w:r w:rsidR="00234928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 PAGAMENTO VIA NOTA FISCAL COM CÓDIGO DE BARRAS</w:t>
                  </w:r>
                  <w:r w:rsidR="000C42AB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 </w:t>
                  </w:r>
                </w:p>
                <w:p w14:paraId="19CB52BF" w14:textId="17A9832D" w:rsidR="00C93EEE" w:rsidRPr="000268A2" w:rsidRDefault="00C93EEE" w:rsidP="00C876B4">
                  <w:pPr>
                    <w:jc w:val="both"/>
                    <w:rPr>
                      <w:rFonts w:ascii="Arial Narrow" w:hAnsi="Arial Narrow" w:cs="Arial"/>
                    </w:rPr>
                  </w:pPr>
                  <w:r w:rsidRPr="000268A2">
                    <w:rPr>
                      <w:rFonts w:ascii="Arial Narrow" w:hAnsi="Arial Narrow"/>
                    </w:rPr>
                    <w:t>O item 12 do Termo de Referência e a cláusula 4.2 da minuta do contrato estabelecem que o pagamento deverá ser realizado mediante depósito em conta bancária. Isso porque, o procedimento de pagamento adotado relativamente aos serviços de telecomunicações, se dá mediante apresentação de fatura (nota fiscal com código de barras), ou mediante SIAFI nos casos de órgãos vinculados à Administração Pública Federal, como é o caso da ANATEL.</w:t>
                  </w:r>
                </w:p>
                <w:p w14:paraId="4064649B" w14:textId="77777777" w:rsidR="004F5BF1" w:rsidRPr="000268A2" w:rsidRDefault="004F5BF1" w:rsidP="004F5BF1">
                  <w:pPr>
                    <w:jc w:val="both"/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</w:pPr>
                </w:p>
                <w:p w14:paraId="3194A71D" w14:textId="382D3F40" w:rsidR="004F5BF1" w:rsidRPr="000268A2" w:rsidRDefault="004F5BF1" w:rsidP="004F5BF1">
                  <w:pPr>
                    <w:jc w:val="both"/>
                    <w:rPr>
                      <w:rFonts w:ascii="Arial Narrow" w:hAnsi="Arial Narrow" w:cs="Arial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Resposta alegação 3: </w:t>
                  </w:r>
                  <w:r w:rsidR="00C2200B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A Alegação é Improcedente - </w:t>
                  </w:r>
                  <w:r w:rsidR="00C2200B" w:rsidRPr="000268A2">
                    <w:rPr>
                      <w:rFonts w:ascii="Arial Narrow" w:hAnsi="Arial Narrow" w:cs="Arial"/>
                      <w:lang w:eastAsia="pt-BR"/>
                    </w:rPr>
                    <w:t>Os Contratantes</w:t>
                  </w:r>
                  <w:r w:rsidR="005F00DD" w:rsidRPr="000268A2">
                    <w:rPr>
                      <w:rFonts w:ascii="Arial Narrow" w:hAnsi="Arial Narrow" w:cs="Arial"/>
                      <w:lang w:eastAsia="pt-BR"/>
                    </w:rPr>
                    <w:t xml:space="preserve"> possuem organização interna quanto a sua forma de pagamento, sendo padrão a realização por meio de depósito em conta corrente, </w:t>
                  </w:r>
                  <w:r w:rsidRPr="000268A2">
                    <w:rPr>
                      <w:rFonts w:ascii="Arial Narrow" w:hAnsi="Arial Narrow" w:cs="Arial"/>
                    </w:rPr>
                    <w:t>ou seja, previamente estabelecida, não passível de alteração.</w:t>
                  </w:r>
                </w:p>
                <w:p w14:paraId="27280956" w14:textId="77777777" w:rsidR="00C93EEE" w:rsidRPr="000268A2" w:rsidRDefault="00C93EEE" w:rsidP="00C876B4">
                  <w:pPr>
                    <w:jc w:val="both"/>
                    <w:rPr>
                      <w:rFonts w:ascii="Arial Narrow" w:hAnsi="Arial Narrow" w:cs="Arial"/>
                    </w:rPr>
                  </w:pPr>
                </w:p>
                <w:p w14:paraId="29EE082C" w14:textId="183552ED" w:rsidR="004F5BF1" w:rsidRPr="000268A2" w:rsidRDefault="00C93EEE" w:rsidP="00A1263B">
                  <w:pPr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Alegação 4 -</w:t>
                  </w:r>
                  <w:r w:rsidR="000C42AB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 </w:t>
                  </w:r>
                  <w:r w:rsidR="007542F9" w:rsidRPr="000268A2">
                    <w:rPr>
                      <w:rFonts w:ascii="Arial Narrow" w:hAnsi="Arial Narrow" w:cs="Arial"/>
                      <w:b/>
                      <w:bCs/>
                    </w:rPr>
                    <w:t>PAGAMENTO EM CASO DE RECUSA DO DOCUMENTO FISCAL</w:t>
                  </w:r>
                </w:p>
                <w:p w14:paraId="6F43A1A8" w14:textId="3AE05BE2" w:rsidR="000C42AB" w:rsidRPr="000268A2" w:rsidRDefault="004F5BF1" w:rsidP="00A1263B">
                  <w:pPr>
                    <w:jc w:val="both"/>
                    <w:rPr>
                      <w:rFonts w:ascii="Arial Narrow" w:hAnsi="Arial Narrow" w:cs="Arial"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</w:rPr>
                    <w:t>A impugnante alega que o</w:t>
                  </w:r>
                  <w:r w:rsidR="000C42AB" w:rsidRPr="000268A2">
                    <w:rPr>
                      <w:rFonts w:ascii="Arial Narrow" w:hAnsi="Arial Narrow"/>
                    </w:rPr>
                    <w:t xml:space="preserve"> item 12 do Termo de Referência e a cláusula 4.2 da minuta do contrato estipula que as faturas que apresentarem incorreções serão devolvidas à Contratada e não será iniciada a contagem de prazo para pagamento pela Contratante até a sua correção.</w:t>
                  </w:r>
                </w:p>
                <w:p w14:paraId="24177923" w14:textId="77777777" w:rsidR="004F5BF1" w:rsidRPr="000268A2" w:rsidRDefault="004F5BF1" w:rsidP="004F5BF1">
                  <w:pPr>
                    <w:jc w:val="both"/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</w:pPr>
                </w:p>
                <w:p w14:paraId="05BE2BB1" w14:textId="715AE916" w:rsidR="00700191" w:rsidRPr="000268A2" w:rsidRDefault="004F5BF1" w:rsidP="004F5BF1">
                  <w:pPr>
                    <w:jc w:val="both"/>
                    <w:rPr>
                      <w:rFonts w:ascii="Arial Narrow" w:hAnsi="Arial Narrow" w:cs="Arial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Resposta alegação 4: </w:t>
                  </w:r>
                  <w:r w:rsidR="00C2200B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A Alegação é Improcedente – </w:t>
                  </w:r>
                  <w:r w:rsidR="00C2200B" w:rsidRPr="000268A2">
                    <w:rPr>
                      <w:rFonts w:ascii="Arial Narrow" w:hAnsi="Arial Narrow" w:cs="Arial"/>
                      <w:lang w:eastAsia="pt-BR"/>
                    </w:rPr>
                    <w:t>Os Contratantes</w:t>
                  </w:r>
                  <w:r w:rsidR="00700191" w:rsidRPr="000268A2">
                    <w:rPr>
                      <w:rFonts w:ascii="Arial Narrow" w:hAnsi="Arial Narrow" w:cs="Arial"/>
                    </w:rPr>
                    <w:t xml:space="preserve"> possuem rigoroso processo para pagamento das faturas, devendo estas estarem em consonância com o objeto contrato e devidamente atestada</w:t>
                  </w:r>
                  <w:r w:rsidR="00C2200B" w:rsidRPr="000268A2">
                    <w:rPr>
                      <w:rFonts w:ascii="Arial Narrow" w:hAnsi="Arial Narrow" w:cs="Arial"/>
                    </w:rPr>
                    <w:t>s</w:t>
                  </w:r>
                  <w:r w:rsidR="00700191" w:rsidRPr="000268A2">
                    <w:rPr>
                      <w:rFonts w:ascii="Arial Narrow" w:hAnsi="Arial Narrow" w:cs="Arial"/>
                    </w:rPr>
                    <w:t xml:space="preserve"> pelo gestor, fiscal do contrato.</w:t>
                  </w:r>
                </w:p>
                <w:p w14:paraId="56AE7A21" w14:textId="77777777" w:rsidR="00700191" w:rsidRPr="000268A2" w:rsidRDefault="00700191" w:rsidP="004F5BF1">
                  <w:pPr>
                    <w:jc w:val="both"/>
                    <w:rPr>
                      <w:rFonts w:ascii="Arial Narrow" w:hAnsi="Arial Narrow" w:cs="Arial"/>
                    </w:rPr>
                  </w:pPr>
                </w:p>
                <w:p w14:paraId="2EBE5EFF" w14:textId="47ACE641" w:rsidR="009014EE" w:rsidRPr="000268A2" w:rsidRDefault="00700191" w:rsidP="004F5BF1">
                  <w:pPr>
                    <w:jc w:val="both"/>
                    <w:rPr>
                      <w:rFonts w:ascii="Arial Narrow" w:hAnsi="Arial Narrow" w:cs="Arial"/>
                    </w:rPr>
                  </w:pPr>
                  <w:r w:rsidRPr="000268A2">
                    <w:rPr>
                      <w:rFonts w:ascii="Arial Narrow" w:hAnsi="Arial Narrow" w:cs="Arial"/>
                    </w:rPr>
                    <w:t xml:space="preserve">Assim, não há possibilidade </w:t>
                  </w:r>
                  <w:r w:rsidR="009014EE" w:rsidRPr="000268A2">
                    <w:rPr>
                      <w:rFonts w:ascii="Arial Narrow" w:hAnsi="Arial Narrow" w:cs="Arial"/>
                    </w:rPr>
                    <w:t>de pagamento de fatura com qualquer incorreção, inclusive devendo ser observado</w:t>
                  </w:r>
                  <w:r w:rsidR="00C2200B" w:rsidRPr="000268A2">
                    <w:rPr>
                      <w:rFonts w:ascii="Arial Narrow" w:hAnsi="Arial Narrow" w:cs="Arial"/>
                    </w:rPr>
                    <w:t>s</w:t>
                  </w:r>
                  <w:r w:rsidR="009014EE" w:rsidRPr="000268A2">
                    <w:rPr>
                      <w:rFonts w:ascii="Arial Narrow" w:hAnsi="Arial Narrow" w:cs="Arial"/>
                    </w:rPr>
                    <w:t xml:space="preserve"> os prazos de envio diante da data de pagamento, em conformidade com o exposto no Edital.</w:t>
                  </w:r>
                </w:p>
                <w:p w14:paraId="6EC4DC33" w14:textId="77777777" w:rsidR="009014EE" w:rsidRPr="000268A2" w:rsidRDefault="009014EE" w:rsidP="004F5BF1">
                  <w:pPr>
                    <w:jc w:val="both"/>
                    <w:rPr>
                      <w:rFonts w:ascii="Arial Narrow" w:hAnsi="Arial Narrow" w:cs="Arial"/>
                    </w:rPr>
                  </w:pPr>
                </w:p>
                <w:p w14:paraId="1784F13E" w14:textId="7887EB66" w:rsidR="004F5BF1" w:rsidRPr="000268A2" w:rsidRDefault="009014EE" w:rsidP="004F5BF1">
                  <w:pPr>
                    <w:jc w:val="both"/>
                    <w:rPr>
                      <w:rFonts w:ascii="Arial Narrow" w:hAnsi="Arial Narrow" w:cs="Arial"/>
                    </w:rPr>
                  </w:pPr>
                  <w:r w:rsidRPr="000268A2">
                    <w:rPr>
                      <w:rFonts w:ascii="Arial Narrow" w:hAnsi="Arial Narrow" w:cs="Arial"/>
                    </w:rPr>
                    <w:t xml:space="preserve">Deste modo, esta </w:t>
                  </w:r>
                  <w:r w:rsidR="004F5BF1" w:rsidRPr="000268A2">
                    <w:rPr>
                      <w:rFonts w:ascii="Arial Narrow" w:hAnsi="Arial Narrow" w:cs="Arial"/>
                    </w:rPr>
                    <w:t>Cláusula é um item padrão dos nossos editais, ou seja, previamente estabelecida, não passível de alteração. Para os casos de incorreções nas faturas o instrumento convocatório é claro ao estabelecer as condições e prazos para correção do documento fiscal.</w:t>
                  </w:r>
                </w:p>
                <w:p w14:paraId="1162A28E" w14:textId="39E4C55C" w:rsidR="004954AE" w:rsidRPr="000268A2" w:rsidRDefault="004954AE" w:rsidP="00A1263B">
                  <w:pPr>
                    <w:jc w:val="both"/>
                    <w:rPr>
                      <w:rFonts w:ascii="Arial Narrow" w:hAnsi="Arial Narrow" w:cs="Arial"/>
                      <w:lang w:eastAsia="pt-BR"/>
                    </w:rPr>
                  </w:pPr>
                </w:p>
                <w:p w14:paraId="0CF77238" w14:textId="44FA92C3" w:rsidR="0089539E" w:rsidRPr="000268A2" w:rsidRDefault="00C93EEE" w:rsidP="00C876B4">
                  <w:pPr>
                    <w:jc w:val="both"/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Alegação 5 -</w:t>
                  </w:r>
                  <w:r w:rsidR="0089539E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 LIMITAÇÃO DA RESPONSABILIDADE DA CONTRATADA AOS DANOS DIRETOS COMPROVADAMENTE CAUSADOS </w:t>
                  </w:r>
                  <w:r w:rsidR="00F66820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AOS</w:t>
                  </w:r>
                  <w:r w:rsidR="0089539E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 CONTRATANTE</w:t>
                  </w:r>
                  <w:r w:rsidR="00F66820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S</w:t>
                  </w:r>
                </w:p>
                <w:p w14:paraId="6DCA87A1" w14:textId="77777777" w:rsidR="004F5BF1" w:rsidRPr="000268A2" w:rsidRDefault="004F5BF1" w:rsidP="00C876B4">
                  <w:pPr>
                    <w:jc w:val="both"/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</w:pPr>
                </w:p>
                <w:p w14:paraId="7E30CCC7" w14:textId="54D852F7" w:rsidR="0089539E" w:rsidRPr="000268A2" w:rsidRDefault="004F5BF1" w:rsidP="00A1263B">
                  <w:pPr>
                    <w:jc w:val="both"/>
                    <w:rPr>
                      <w:rFonts w:ascii="Arial Narrow" w:hAnsi="Arial Narrow"/>
                    </w:rPr>
                  </w:pPr>
                  <w:r w:rsidRPr="000268A2">
                    <w:rPr>
                      <w:rFonts w:ascii="Arial Narrow" w:hAnsi="Arial Narrow"/>
                    </w:rPr>
                    <w:t xml:space="preserve">No Edital e seus anexos verificam-se a previsão de que a </w:t>
                  </w:r>
                  <w:r w:rsidR="00C2200B" w:rsidRPr="000268A2">
                    <w:rPr>
                      <w:rFonts w:ascii="Arial Narrow" w:hAnsi="Arial Narrow"/>
                    </w:rPr>
                    <w:t>C</w:t>
                  </w:r>
                  <w:r w:rsidRPr="000268A2">
                    <w:rPr>
                      <w:rFonts w:ascii="Arial Narrow" w:hAnsi="Arial Narrow"/>
                    </w:rPr>
                    <w:t>ontratada deverá responder pelos danos causados à Administração ou a bens do Contratante, sem, no entanto, mencionar acerca da apuração de culpa ou dolo.</w:t>
                  </w:r>
                </w:p>
                <w:p w14:paraId="3D998A26" w14:textId="77777777" w:rsidR="006162C1" w:rsidRPr="000268A2" w:rsidRDefault="006162C1" w:rsidP="00A1263B">
                  <w:pPr>
                    <w:jc w:val="both"/>
                    <w:rPr>
                      <w:rFonts w:ascii="Arial Narrow" w:hAnsi="Arial Narrow"/>
                    </w:rPr>
                  </w:pPr>
                </w:p>
                <w:p w14:paraId="3232666E" w14:textId="32CAF396" w:rsidR="004F5BF1" w:rsidRPr="000268A2" w:rsidRDefault="004F5BF1" w:rsidP="00A1263B">
                  <w:pPr>
                    <w:jc w:val="both"/>
                    <w:rPr>
                      <w:rFonts w:ascii="Arial Narrow" w:hAnsi="Arial Narrow"/>
                    </w:rPr>
                  </w:pPr>
                  <w:r w:rsidRPr="000268A2">
                    <w:rPr>
                      <w:rFonts w:ascii="Arial Narrow" w:hAnsi="Arial Narrow"/>
                    </w:rPr>
                    <w:t>Diante do exposto, requer seja alterado o item em comento de modo que a Contratada somente seja responsável caso tenha diretamente agido com dolo ou culpa, desde que garantida a sua ampla defesa - na forma do art. 70 da Lei 8666/93.</w:t>
                  </w:r>
                </w:p>
                <w:p w14:paraId="38BF34FA" w14:textId="77777777" w:rsidR="004F5BF1" w:rsidRPr="000268A2" w:rsidRDefault="004F5BF1" w:rsidP="004F5BF1">
                  <w:pPr>
                    <w:jc w:val="both"/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</w:pPr>
                </w:p>
                <w:p w14:paraId="246A6F5F" w14:textId="14557BA8" w:rsidR="00C34CEE" w:rsidRPr="000268A2" w:rsidRDefault="004F5BF1" w:rsidP="00C2200B">
                  <w:pPr>
                    <w:jc w:val="both"/>
                    <w:rPr>
                      <w:rFonts w:ascii="Arial Narrow" w:hAnsi="Arial Narrow" w:cs="Arial"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Resposta alegação 5:</w:t>
                  </w:r>
                  <w:r w:rsidR="00C2200B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 A Alegação é Improcedente – </w:t>
                  </w:r>
                  <w:r w:rsidR="00C2200B" w:rsidRPr="000268A2">
                    <w:rPr>
                      <w:rFonts w:ascii="Arial Narrow" w:hAnsi="Arial Narrow" w:cs="Arial"/>
                      <w:lang w:eastAsia="pt-BR"/>
                    </w:rPr>
                    <w:t>O Anexo III, Condições Gerais da Contratação prevê todas as condições de apuração de eventuais responsabilidades.</w:t>
                  </w:r>
                </w:p>
                <w:p w14:paraId="573B2DB6" w14:textId="77777777" w:rsidR="00C2200B" w:rsidRPr="000268A2" w:rsidRDefault="00C2200B" w:rsidP="00C2200B">
                  <w:pPr>
                    <w:jc w:val="both"/>
                    <w:rPr>
                      <w:rFonts w:ascii="Arial Narrow" w:hAnsi="Arial Narrow"/>
                    </w:rPr>
                  </w:pPr>
                </w:p>
                <w:p w14:paraId="5128813F" w14:textId="3A4C5A85" w:rsidR="0089539E" w:rsidRPr="000268A2" w:rsidRDefault="00C93EEE" w:rsidP="00C876B4">
                  <w:pPr>
                    <w:jc w:val="both"/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Alegação 6 -</w:t>
                  </w:r>
                  <w:r w:rsidR="00601D21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 </w:t>
                  </w:r>
                  <w:r w:rsidR="00002853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INCLUSÃO DE GARANTIAS À CONTRATADA EM CASO DE INADIMPLÊNCIA DA CONTRATANTE</w:t>
                  </w:r>
                </w:p>
                <w:p w14:paraId="08DC0620" w14:textId="5EBB4BE6" w:rsidR="004F5BF1" w:rsidRPr="000268A2" w:rsidRDefault="004F5BF1" w:rsidP="00A1263B">
                  <w:pPr>
                    <w:jc w:val="both"/>
                    <w:rPr>
                      <w:rFonts w:ascii="Arial Narrow" w:hAnsi="Arial Narrow"/>
                    </w:rPr>
                  </w:pPr>
                  <w:r w:rsidRPr="000268A2">
                    <w:rPr>
                      <w:rFonts w:ascii="Arial Narrow" w:hAnsi="Arial Narrow"/>
                    </w:rPr>
                    <w:t>Faz-se necessária a inclusão de cláusula referente ao ressarcimento sobre o atraso no pagamento da parcela contratada por parte do Contratante, de modo a incidir multa de 2% sobre o valor da fatura no mês de atraso, juros de mora na ordem de 1% ao mês e a correção monetária pelo IGP-DI.</w:t>
                  </w:r>
                </w:p>
                <w:p w14:paraId="6A79F8D6" w14:textId="77777777" w:rsidR="004F5BF1" w:rsidRPr="000268A2" w:rsidRDefault="004F5BF1" w:rsidP="00A1263B">
                  <w:pPr>
                    <w:jc w:val="both"/>
                    <w:rPr>
                      <w:rFonts w:ascii="Arial Narrow" w:hAnsi="Arial Narrow"/>
                    </w:rPr>
                  </w:pPr>
                </w:p>
                <w:p w14:paraId="270247B0" w14:textId="3B744D25" w:rsidR="00C2200B" w:rsidRPr="000268A2" w:rsidRDefault="004F5BF1" w:rsidP="00C2200B">
                  <w:pPr>
                    <w:jc w:val="both"/>
                    <w:rPr>
                      <w:rFonts w:ascii="Arial Narrow" w:hAnsi="Arial Narrow" w:cs="Arial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Resposta alegação 6: </w:t>
                  </w:r>
                  <w:r w:rsidR="001F076A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A Alegação é Improcedente - </w:t>
                  </w:r>
                  <w:r w:rsidR="00C2200B" w:rsidRPr="000268A2">
                    <w:rPr>
                      <w:rFonts w:ascii="Arial Narrow" w:hAnsi="Arial Narrow" w:cs="Arial"/>
                      <w:lang w:eastAsia="pt-BR"/>
                    </w:rPr>
                    <w:t>O Anexo III, disponibilizado junto com o Edital, “Condições Gerais da Contratação” prevê todas as condições acerca de possível inadimplência das partes.</w:t>
                  </w:r>
                </w:p>
                <w:p w14:paraId="72ED4372" w14:textId="77777777" w:rsidR="004F5BF1" w:rsidRPr="000268A2" w:rsidRDefault="004F5BF1" w:rsidP="004F5BF1">
                  <w:pPr>
                    <w:jc w:val="both"/>
                    <w:rPr>
                      <w:rFonts w:ascii="Arial Narrow" w:hAnsi="Arial Narrow" w:cs="Arial"/>
                    </w:rPr>
                  </w:pPr>
                </w:p>
                <w:p w14:paraId="3C0C65B2" w14:textId="5ED64DD2" w:rsidR="00A1263B" w:rsidRPr="000268A2" w:rsidRDefault="0065336C" w:rsidP="00A1263B">
                  <w:pPr>
                    <w:jc w:val="both"/>
                    <w:rPr>
                      <w:rFonts w:ascii="Arial Narrow" w:hAnsi="Arial Narrow"/>
                      <w:lang w:eastAsia="pt-BR"/>
                    </w:rPr>
                  </w:pPr>
                  <w:r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lastRenderedPageBreak/>
                    <w:t>IV</w:t>
                  </w:r>
                  <w:r w:rsidR="00A1263B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 </w:t>
                  </w:r>
                  <w:r w:rsidR="00AD40F4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–</w:t>
                  </w:r>
                  <w:r w:rsidR="00A1263B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 xml:space="preserve"> </w:t>
                  </w:r>
                  <w:r w:rsidR="00AD40F4" w:rsidRPr="000268A2">
                    <w:rPr>
                      <w:rFonts w:ascii="Arial Narrow" w:hAnsi="Arial Narrow" w:cs="Arial"/>
                      <w:b/>
                      <w:bCs/>
                      <w:lang w:eastAsia="pt-BR"/>
                    </w:rPr>
                    <w:t>DA DECISÃO</w:t>
                  </w:r>
                </w:p>
                <w:p w14:paraId="42A62359" w14:textId="77777777" w:rsidR="00A1263B" w:rsidRPr="000268A2" w:rsidRDefault="00A1263B" w:rsidP="00A1263B">
                  <w:pPr>
                    <w:jc w:val="both"/>
                    <w:rPr>
                      <w:rFonts w:ascii="Arial Narrow" w:hAnsi="Arial Narrow"/>
                      <w:lang w:eastAsia="pt-BR"/>
                    </w:rPr>
                  </w:pPr>
                </w:p>
              </w:tc>
              <w:tc>
                <w:tcPr>
                  <w:tcW w:w="825" w:type="dxa"/>
                  <w:vMerge/>
                  <w:shd w:val="clear" w:color="auto" w:fill="FFFFFF"/>
                  <w:vAlign w:val="center"/>
                  <w:hideMark/>
                </w:tcPr>
                <w:p w14:paraId="7AA6E452" w14:textId="77777777" w:rsidR="00A1263B" w:rsidRPr="000268A2" w:rsidRDefault="00A1263B" w:rsidP="00A1263B">
                  <w:pPr>
                    <w:rPr>
                      <w:rFonts w:ascii="Arial Narrow" w:hAnsi="Arial Narrow"/>
                      <w:lang w:eastAsia="pt-BR"/>
                    </w:rPr>
                  </w:pPr>
                </w:p>
              </w:tc>
            </w:tr>
          </w:tbl>
          <w:p w14:paraId="1E2FA5ED" w14:textId="24FD3D55" w:rsidR="00BE4883" w:rsidRPr="000268A2" w:rsidRDefault="00BE4883" w:rsidP="00B45760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hAnsi="Arial Narrow" w:cs="Arial"/>
                <w:b/>
              </w:rPr>
            </w:pPr>
          </w:p>
          <w:p w14:paraId="59729897" w14:textId="2186038D" w:rsidR="00BE4883" w:rsidRPr="000268A2" w:rsidRDefault="00AD40F4" w:rsidP="00C876B4">
            <w:pPr>
              <w:pStyle w:val="Corpodetexto2"/>
              <w:tabs>
                <w:tab w:val="left" w:pos="9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0268A2">
              <w:rPr>
                <w:rFonts w:ascii="Arial Narrow" w:hAnsi="Arial Narrow"/>
                <w:bCs/>
                <w:lang w:eastAsia="pt-BR"/>
              </w:rPr>
              <w:t xml:space="preserve">Pelo exposto, consideramos </w:t>
            </w:r>
            <w:r w:rsidRPr="000268A2">
              <w:rPr>
                <w:rFonts w:ascii="Arial Narrow" w:hAnsi="Arial Narrow"/>
                <w:b/>
                <w:lang w:eastAsia="pt-BR"/>
              </w:rPr>
              <w:t>improcedente</w:t>
            </w:r>
            <w:r w:rsidRPr="000268A2">
              <w:rPr>
                <w:rFonts w:ascii="Arial Narrow" w:hAnsi="Arial Narrow"/>
                <w:bCs/>
                <w:lang w:eastAsia="pt-BR"/>
              </w:rPr>
              <w:t xml:space="preserve"> a impugnação, uma vez que impugnou cláusulas alinhadas com as normas regentes de licitação</w:t>
            </w:r>
            <w:r w:rsidR="00392B2D" w:rsidRPr="000268A2">
              <w:rPr>
                <w:rFonts w:ascii="Arial Narrow" w:hAnsi="Arial Narrow"/>
                <w:bCs/>
                <w:lang w:eastAsia="pt-BR"/>
              </w:rPr>
              <w:t xml:space="preserve"> e </w:t>
            </w:r>
            <w:r w:rsidR="00A548D2" w:rsidRPr="000268A2">
              <w:rPr>
                <w:rFonts w:ascii="Arial Narrow" w:hAnsi="Arial Narrow"/>
                <w:bCs/>
                <w:lang w:eastAsia="pt-BR"/>
              </w:rPr>
              <w:t>o</w:t>
            </w:r>
            <w:r w:rsidR="00392B2D" w:rsidRPr="000268A2">
              <w:rPr>
                <w:rFonts w:ascii="Arial Narrow" w:hAnsi="Arial Narrow"/>
                <w:bCs/>
                <w:lang w:eastAsia="pt-BR"/>
              </w:rPr>
              <w:t xml:space="preserve"> regramento d</w:t>
            </w:r>
            <w:r w:rsidR="001F076A" w:rsidRPr="000268A2">
              <w:rPr>
                <w:rFonts w:ascii="Arial Narrow" w:hAnsi="Arial Narrow"/>
                <w:bCs/>
                <w:lang w:eastAsia="pt-BR"/>
              </w:rPr>
              <w:t>os</w:t>
            </w:r>
            <w:r w:rsidR="00392B2D" w:rsidRPr="000268A2">
              <w:rPr>
                <w:rFonts w:ascii="Arial Narrow" w:hAnsi="Arial Narrow"/>
                <w:bCs/>
                <w:lang w:eastAsia="pt-BR"/>
              </w:rPr>
              <w:t xml:space="preserve"> </w:t>
            </w:r>
            <w:r w:rsidR="001F076A" w:rsidRPr="000268A2">
              <w:rPr>
                <w:rFonts w:ascii="Arial Narrow" w:hAnsi="Arial Narrow"/>
                <w:bCs/>
                <w:lang w:eastAsia="pt-BR"/>
              </w:rPr>
              <w:t>Contratantes</w:t>
            </w:r>
            <w:r w:rsidRPr="000268A2">
              <w:rPr>
                <w:rFonts w:ascii="Arial Narrow" w:hAnsi="Arial Narrow"/>
                <w:bCs/>
                <w:lang w:eastAsia="pt-BR"/>
              </w:rPr>
              <w:t>.</w:t>
            </w:r>
            <w:r w:rsidR="00C876B4" w:rsidRPr="000268A2">
              <w:rPr>
                <w:rFonts w:ascii="Arial Narrow" w:hAnsi="Arial Narrow"/>
              </w:rPr>
              <w:t xml:space="preserve"> </w:t>
            </w:r>
          </w:p>
          <w:p w14:paraId="21A0A33C" w14:textId="77777777" w:rsidR="00392B2D" w:rsidRPr="000268A2" w:rsidRDefault="00392B2D" w:rsidP="00C876B4">
            <w:pPr>
              <w:pStyle w:val="Corpodetexto2"/>
              <w:tabs>
                <w:tab w:val="left" w:pos="9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</w:p>
          <w:p w14:paraId="2670DC21" w14:textId="460D12E3" w:rsidR="00C876B4" w:rsidRPr="000268A2" w:rsidRDefault="00C876B4" w:rsidP="00C876B4">
            <w:pPr>
              <w:pStyle w:val="Corpodetexto2"/>
              <w:tabs>
                <w:tab w:val="left" w:pos="9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hAnsi="Arial Narrow"/>
                <w:b/>
                <w:bCs/>
              </w:rPr>
            </w:pPr>
            <w:r w:rsidRPr="000268A2">
              <w:rPr>
                <w:rFonts w:ascii="Arial Narrow" w:hAnsi="Arial Narrow"/>
              </w:rPr>
              <w:t>Tendo em vista a</w:t>
            </w:r>
            <w:r w:rsidR="004F5BF1" w:rsidRPr="000268A2">
              <w:rPr>
                <w:rFonts w:ascii="Arial Narrow" w:hAnsi="Arial Narrow"/>
              </w:rPr>
              <w:t xml:space="preserve"> divulgação das</w:t>
            </w:r>
            <w:r w:rsidRPr="000268A2">
              <w:rPr>
                <w:rFonts w:ascii="Arial Narrow" w:hAnsi="Arial Narrow"/>
              </w:rPr>
              <w:t xml:space="preserve"> Condições Gerais</w:t>
            </w:r>
            <w:r w:rsidR="004F5BF1" w:rsidRPr="000268A2">
              <w:rPr>
                <w:rFonts w:ascii="Arial Narrow" w:hAnsi="Arial Narrow"/>
              </w:rPr>
              <w:t xml:space="preserve"> de Contrat</w:t>
            </w:r>
            <w:r w:rsidRPr="000268A2">
              <w:rPr>
                <w:rFonts w:ascii="Arial Narrow" w:hAnsi="Arial Narrow"/>
              </w:rPr>
              <w:t>a</w:t>
            </w:r>
            <w:r w:rsidR="004F5BF1" w:rsidRPr="000268A2">
              <w:rPr>
                <w:rFonts w:ascii="Arial Narrow" w:hAnsi="Arial Narrow"/>
              </w:rPr>
              <w:t>ção, a</w:t>
            </w:r>
            <w:r w:rsidR="001F076A" w:rsidRPr="000268A2">
              <w:rPr>
                <w:rFonts w:ascii="Arial Narrow" w:hAnsi="Arial Narrow"/>
              </w:rPr>
              <w:t xml:space="preserve"> abertura foi </w:t>
            </w:r>
            <w:r w:rsidRPr="000268A2">
              <w:rPr>
                <w:rFonts w:ascii="Arial Narrow" w:hAnsi="Arial Narrow"/>
              </w:rPr>
              <w:t>remarc</w:t>
            </w:r>
            <w:r w:rsidR="001F076A" w:rsidRPr="000268A2">
              <w:rPr>
                <w:rFonts w:ascii="Arial Narrow" w:hAnsi="Arial Narrow"/>
              </w:rPr>
              <w:t>ada</w:t>
            </w:r>
            <w:r w:rsidRPr="000268A2">
              <w:rPr>
                <w:rFonts w:ascii="Arial Narrow" w:hAnsi="Arial Narrow"/>
              </w:rPr>
              <w:t xml:space="preserve"> para o dia </w:t>
            </w:r>
            <w:r w:rsidRPr="000268A2">
              <w:rPr>
                <w:rFonts w:ascii="Arial Narrow" w:hAnsi="Arial Narrow"/>
                <w:b/>
                <w:bCs/>
              </w:rPr>
              <w:t>24/11/2021 às 15h.</w:t>
            </w:r>
          </w:p>
          <w:p w14:paraId="76A4C42F" w14:textId="7E9A6F58" w:rsidR="005778E7" w:rsidRPr="000268A2" w:rsidRDefault="005778E7" w:rsidP="006668DD">
            <w:pPr>
              <w:jc w:val="both"/>
              <w:rPr>
                <w:rFonts w:ascii="Arial Narrow" w:hAnsi="Arial Narrow" w:cs="Arial"/>
                <w:lang w:eastAsia="pt-BR"/>
              </w:rPr>
            </w:pPr>
          </w:p>
          <w:p w14:paraId="4B955E7C" w14:textId="77777777" w:rsidR="00A652AE" w:rsidRDefault="00A652AE" w:rsidP="000A4B18">
            <w:pPr>
              <w:jc w:val="center"/>
              <w:rPr>
                <w:rFonts w:ascii="Arial Narrow" w:hAnsi="Arial Narrow" w:cs="Arial"/>
              </w:rPr>
            </w:pPr>
          </w:p>
          <w:p w14:paraId="2A0725E1" w14:textId="6556BCC9" w:rsidR="000A4B18" w:rsidRPr="000268A2" w:rsidRDefault="00613B3F" w:rsidP="000A4B18">
            <w:pPr>
              <w:jc w:val="center"/>
              <w:rPr>
                <w:rFonts w:ascii="Arial Narrow" w:hAnsi="Arial Narrow" w:cs="Arial"/>
              </w:rPr>
            </w:pPr>
            <w:r w:rsidRPr="000268A2">
              <w:rPr>
                <w:rFonts w:ascii="Arial Narrow" w:hAnsi="Arial Narrow" w:cs="Arial"/>
              </w:rPr>
              <w:t xml:space="preserve">Brasília, </w:t>
            </w:r>
            <w:r w:rsidR="004F5BF1" w:rsidRPr="000268A2">
              <w:rPr>
                <w:rFonts w:ascii="Arial Narrow" w:hAnsi="Arial Narrow" w:cs="Arial"/>
              </w:rPr>
              <w:t>22</w:t>
            </w:r>
            <w:r w:rsidR="004B524B" w:rsidRPr="000268A2">
              <w:rPr>
                <w:rFonts w:ascii="Arial Narrow" w:hAnsi="Arial Narrow" w:cs="Arial"/>
              </w:rPr>
              <w:t xml:space="preserve"> de </w:t>
            </w:r>
            <w:r w:rsidR="0065336C" w:rsidRPr="000268A2">
              <w:rPr>
                <w:rFonts w:ascii="Arial Narrow" w:hAnsi="Arial Narrow" w:cs="Arial"/>
              </w:rPr>
              <w:t>novemb</w:t>
            </w:r>
            <w:r w:rsidR="004B524B" w:rsidRPr="000268A2">
              <w:rPr>
                <w:rFonts w:ascii="Arial Narrow" w:hAnsi="Arial Narrow" w:cs="Arial"/>
              </w:rPr>
              <w:t>ro de 2021.</w:t>
            </w:r>
          </w:p>
          <w:p w14:paraId="7FCFB496" w14:textId="77777777" w:rsidR="005778E7" w:rsidRDefault="005778E7" w:rsidP="00A652AE">
            <w:pPr>
              <w:ind w:right="-1"/>
              <w:jc w:val="center"/>
              <w:textAlignment w:val="baseline"/>
              <w:rPr>
                <w:rFonts w:ascii="Arial Narrow" w:hAnsi="Arial Narrow" w:cs="Arial"/>
                <w:color w:val="FF0000"/>
              </w:rPr>
            </w:pPr>
          </w:p>
          <w:p w14:paraId="0BC1A68A" w14:textId="4136909D" w:rsidR="00A652AE" w:rsidRPr="00A652AE" w:rsidRDefault="00A652AE" w:rsidP="00A652AE">
            <w:pPr>
              <w:ind w:right="-1"/>
              <w:jc w:val="center"/>
              <w:textAlignment w:val="baseline"/>
              <w:rPr>
                <w:rFonts w:ascii="Arial Narrow" w:hAnsi="Arial Narrow" w:cs="Arial"/>
                <w:b/>
                <w:bCs/>
                <w:color w:val="FF0000"/>
              </w:rPr>
            </w:pPr>
            <w:r w:rsidRPr="00A652AE">
              <w:rPr>
                <w:rFonts w:ascii="Arial Narrow" w:hAnsi="Arial Narrow" w:cs="Arial"/>
                <w:b/>
                <w:bCs/>
              </w:rPr>
              <w:t>Comissão Permanente de Licitação</w:t>
            </w:r>
          </w:p>
        </w:tc>
      </w:tr>
    </w:tbl>
    <w:p w14:paraId="2C111D27" w14:textId="77777777" w:rsidR="00101B6E" w:rsidRPr="000268A2" w:rsidRDefault="00101B6E" w:rsidP="00E12577">
      <w:pPr>
        <w:rPr>
          <w:rFonts w:ascii="Arial Narrow" w:hAnsi="Arial Narrow"/>
        </w:rPr>
      </w:pPr>
    </w:p>
    <w:sectPr w:rsidR="00101B6E" w:rsidRPr="000268A2" w:rsidSect="004605E7">
      <w:headerReference w:type="default" r:id="rId7"/>
      <w:footerReference w:type="default" r:id="rId8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5208B" w14:textId="77777777" w:rsidR="00F55E5E" w:rsidRDefault="00F55E5E" w:rsidP="00CD7A69">
      <w:r>
        <w:separator/>
      </w:r>
    </w:p>
  </w:endnote>
  <w:endnote w:type="continuationSeparator" w:id="0">
    <w:p w14:paraId="508775B4" w14:textId="77777777" w:rsidR="00F55E5E" w:rsidRDefault="00F55E5E" w:rsidP="00CD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4815" w14:textId="55ECACAC" w:rsidR="00964E5B" w:rsidRPr="0030335A" w:rsidRDefault="00602AE8">
    <w:pPr>
      <w:pStyle w:val="Rodap"/>
      <w:rPr>
        <w:sz w:val="10"/>
        <w:szCs w:val="10"/>
      </w:rPr>
    </w:pPr>
    <w:r>
      <w:rPr>
        <w:noProof/>
        <w:sz w:val="10"/>
        <w:szCs w:val="10"/>
      </w:rPr>
      <w:fldChar w:fldCharType="begin"/>
    </w:r>
    <w:r>
      <w:rPr>
        <w:noProof/>
        <w:sz w:val="10"/>
        <w:szCs w:val="10"/>
      </w:rPr>
      <w:instrText xml:space="preserve"> FILENAME \p \* MERGEFORMAT </w:instrText>
    </w:r>
    <w:r>
      <w:rPr>
        <w:noProof/>
        <w:sz w:val="10"/>
        <w:szCs w:val="10"/>
      </w:rPr>
      <w:fldChar w:fldCharType="separate"/>
    </w:r>
    <w:r w:rsidR="00AC1E5C">
      <w:rPr>
        <w:noProof/>
        <w:sz w:val="10"/>
        <w:szCs w:val="10"/>
      </w:rPr>
      <w:t>H:\GECOM\z.CPL\6. Editais de Licitação\3.PE\2021\PE 14-2021 - Solução Hiperconvergente\5. Esclarecimentos-Atas-Recursos-Contrarrazões\Julgamento Impugnação - PE 14-2021 - Solução Hiperconvergente - revisado.docx</w:t>
    </w:r>
    <w:r>
      <w:rPr>
        <w:noProof/>
        <w:sz w:val="10"/>
        <w:szCs w:val="10"/>
      </w:rPr>
      <w:fldChar w:fldCharType="end"/>
    </w:r>
    <w:r w:rsidR="00964E5B" w:rsidRPr="0030335A">
      <w:rPr>
        <w:sz w:val="10"/>
        <w:szCs w:val="1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F90D3" w14:textId="77777777" w:rsidR="00F55E5E" w:rsidRDefault="00F55E5E" w:rsidP="00CD7A69">
      <w:r>
        <w:separator/>
      </w:r>
    </w:p>
  </w:footnote>
  <w:footnote w:type="continuationSeparator" w:id="0">
    <w:p w14:paraId="70AB46D3" w14:textId="77777777" w:rsidR="00F55E5E" w:rsidRDefault="00F55E5E" w:rsidP="00CD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6898E" w14:textId="73C08E61" w:rsidR="004B524B" w:rsidRDefault="004B524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4DB53F" wp14:editId="3D2318B3">
          <wp:simplePos x="0" y="0"/>
          <wp:positionH relativeFrom="page">
            <wp:align>center</wp:align>
          </wp:positionH>
          <wp:positionV relativeFrom="paragraph">
            <wp:posOffset>-146685</wp:posOffset>
          </wp:positionV>
          <wp:extent cx="4420235" cy="577215"/>
          <wp:effectExtent l="0" t="0" r="0" b="0"/>
          <wp:wrapNone/>
          <wp:docPr id="4" name="Imagem 4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442023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519BE" w14:textId="35CAEA53" w:rsidR="004B524B" w:rsidRDefault="004B524B">
    <w:pPr>
      <w:pStyle w:val="Cabealho"/>
    </w:pPr>
  </w:p>
  <w:p w14:paraId="5D4302D8" w14:textId="77777777" w:rsidR="004B524B" w:rsidRDefault="004B524B">
    <w:pPr>
      <w:pStyle w:val="Cabealho"/>
    </w:pPr>
  </w:p>
  <w:p w14:paraId="4056725F" w14:textId="621FA9C3" w:rsidR="004B524B" w:rsidRDefault="004B52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5C6D"/>
    <w:multiLevelType w:val="multilevel"/>
    <w:tmpl w:val="7BD28956"/>
    <w:lvl w:ilvl="0">
      <w:start w:val="1"/>
      <w:numFmt w:val="decimal"/>
      <w:pStyle w:val="IndicePirmeiroNv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ndiceSegundoNive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IndiceTerceiroNve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velQuatro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07059B"/>
    <w:multiLevelType w:val="hybridMultilevel"/>
    <w:tmpl w:val="F2A66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6028"/>
    <w:multiLevelType w:val="hybridMultilevel"/>
    <w:tmpl w:val="F5008556"/>
    <w:lvl w:ilvl="0" w:tplc="B9FC8B0C">
      <w:start w:val="1"/>
      <w:numFmt w:val="lowerLetter"/>
      <w:pStyle w:val="IndiceQuartoNve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6716"/>
    <w:multiLevelType w:val="hybridMultilevel"/>
    <w:tmpl w:val="242AAA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8856A1"/>
    <w:multiLevelType w:val="hybridMultilevel"/>
    <w:tmpl w:val="C2CE10FA"/>
    <w:lvl w:ilvl="0" w:tplc="B58C49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0486C"/>
    <w:multiLevelType w:val="hybridMultilevel"/>
    <w:tmpl w:val="F9E45658"/>
    <w:lvl w:ilvl="0" w:tplc="94B80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2302A"/>
    <w:multiLevelType w:val="hybridMultilevel"/>
    <w:tmpl w:val="D88273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81A24"/>
    <w:multiLevelType w:val="hybridMultilevel"/>
    <w:tmpl w:val="83BAEBC0"/>
    <w:lvl w:ilvl="0" w:tplc="66D680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83BD6"/>
    <w:multiLevelType w:val="hybridMultilevel"/>
    <w:tmpl w:val="67823C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F57C7"/>
    <w:multiLevelType w:val="hybridMultilevel"/>
    <w:tmpl w:val="5D4CBD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B4DF1"/>
    <w:multiLevelType w:val="hybridMultilevel"/>
    <w:tmpl w:val="09A68F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E7"/>
    <w:rsid w:val="00002853"/>
    <w:rsid w:val="000265C3"/>
    <w:rsid w:val="000268A2"/>
    <w:rsid w:val="00043C55"/>
    <w:rsid w:val="00067A3E"/>
    <w:rsid w:val="00080DF6"/>
    <w:rsid w:val="0009383D"/>
    <w:rsid w:val="000A28BA"/>
    <w:rsid w:val="000A2A4B"/>
    <w:rsid w:val="000A4B18"/>
    <w:rsid w:val="000C0266"/>
    <w:rsid w:val="000C08A7"/>
    <w:rsid w:val="000C204B"/>
    <w:rsid w:val="000C42AB"/>
    <w:rsid w:val="000E6E78"/>
    <w:rsid w:val="000F79F1"/>
    <w:rsid w:val="00101B6E"/>
    <w:rsid w:val="00114405"/>
    <w:rsid w:val="00166904"/>
    <w:rsid w:val="001B12A9"/>
    <w:rsid w:val="001F076A"/>
    <w:rsid w:val="001F10E1"/>
    <w:rsid w:val="00202F6B"/>
    <w:rsid w:val="00203CC4"/>
    <w:rsid w:val="0020669A"/>
    <w:rsid w:val="002179EA"/>
    <w:rsid w:val="00221241"/>
    <w:rsid w:val="00225847"/>
    <w:rsid w:val="00227A19"/>
    <w:rsid w:val="00227C5F"/>
    <w:rsid w:val="00234928"/>
    <w:rsid w:val="00240BD1"/>
    <w:rsid w:val="00244837"/>
    <w:rsid w:val="0025082C"/>
    <w:rsid w:val="00286BC8"/>
    <w:rsid w:val="002A2D6A"/>
    <w:rsid w:val="002C7A2A"/>
    <w:rsid w:val="002E7BC3"/>
    <w:rsid w:val="0030335A"/>
    <w:rsid w:val="00344358"/>
    <w:rsid w:val="00351A52"/>
    <w:rsid w:val="00352155"/>
    <w:rsid w:val="003871DB"/>
    <w:rsid w:val="00391C1A"/>
    <w:rsid w:val="00392B2D"/>
    <w:rsid w:val="00396C07"/>
    <w:rsid w:val="003A01B5"/>
    <w:rsid w:val="003A3983"/>
    <w:rsid w:val="003B53BB"/>
    <w:rsid w:val="003C3E44"/>
    <w:rsid w:val="003D369E"/>
    <w:rsid w:val="00405AA6"/>
    <w:rsid w:val="00405AE4"/>
    <w:rsid w:val="00417687"/>
    <w:rsid w:val="004605E7"/>
    <w:rsid w:val="00473E13"/>
    <w:rsid w:val="004954AE"/>
    <w:rsid w:val="004A0AD5"/>
    <w:rsid w:val="004B524B"/>
    <w:rsid w:val="004C3037"/>
    <w:rsid w:val="004D7315"/>
    <w:rsid w:val="004E3DA7"/>
    <w:rsid w:val="004E42C3"/>
    <w:rsid w:val="004E792D"/>
    <w:rsid w:val="004E794E"/>
    <w:rsid w:val="004F5BF1"/>
    <w:rsid w:val="00505601"/>
    <w:rsid w:val="00511875"/>
    <w:rsid w:val="0054229A"/>
    <w:rsid w:val="00552F65"/>
    <w:rsid w:val="00554488"/>
    <w:rsid w:val="005778E7"/>
    <w:rsid w:val="005A3DFC"/>
    <w:rsid w:val="005E185E"/>
    <w:rsid w:val="005F00DD"/>
    <w:rsid w:val="00601D21"/>
    <w:rsid w:val="00602AE8"/>
    <w:rsid w:val="00613B3F"/>
    <w:rsid w:val="006162C1"/>
    <w:rsid w:val="0063665F"/>
    <w:rsid w:val="006530C8"/>
    <w:rsid w:val="0065336C"/>
    <w:rsid w:val="006668DD"/>
    <w:rsid w:val="006A3A47"/>
    <w:rsid w:val="006C2884"/>
    <w:rsid w:val="006E436F"/>
    <w:rsid w:val="00700191"/>
    <w:rsid w:val="007309B0"/>
    <w:rsid w:val="00736F39"/>
    <w:rsid w:val="00740187"/>
    <w:rsid w:val="007542F9"/>
    <w:rsid w:val="00773E02"/>
    <w:rsid w:val="00777630"/>
    <w:rsid w:val="007B1768"/>
    <w:rsid w:val="007B20DA"/>
    <w:rsid w:val="007D2959"/>
    <w:rsid w:val="007F2D79"/>
    <w:rsid w:val="0080348D"/>
    <w:rsid w:val="00830942"/>
    <w:rsid w:val="00835C15"/>
    <w:rsid w:val="008637BC"/>
    <w:rsid w:val="00863BD7"/>
    <w:rsid w:val="00870E13"/>
    <w:rsid w:val="008933A0"/>
    <w:rsid w:val="0089539E"/>
    <w:rsid w:val="00897C15"/>
    <w:rsid w:val="008B4D38"/>
    <w:rsid w:val="008C7CB1"/>
    <w:rsid w:val="009014EE"/>
    <w:rsid w:val="00921984"/>
    <w:rsid w:val="00941882"/>
    <w:rsid w:val="00943DD0"/>
    <w:rsid w:val="009544F5"/>
    <w:rsid w:val="009648D8"/>
    <w:rsid w:val="009649A0"/>
    <w:rsid w:val="00964E5B"/>
    <w:rsid w:val="00967BF9"/>
    <w:rsid w:val="00982193"/>
    <w:rsid w:val="009B2FB0"/>
    <w:rsid w:val="009B3501"/>
    <w:rsid w:val="009C4D17"/>
    <w:rsid w:val="009E3BEC"/>
    <w:rsid w:val="009F4015"/>
    <w:rsid w:val="00A1263B"/>
    <w:rsid w:val="00A1780D"/>
    <w:rsid w:val="00A548D2"/>
    <w:rsid w:val="00A5516A"/>
    <w:rsid w:val="00A652AE"/>
    <w:rsid w:val="00A80576"/>
    <w:rsid w:val="00A81D2A"/>
    <w:rsid w:val="00A90F48"/>
    <w:rsid w:val="00A92BEB"/>
    <w:rsid w:val="00A9376A"/>
    <w:rsid w:val="00A94F15"/>
    <w:rsid w:val="00AA3207"/>
    <w:rsid w:val="00AB2B5D"/>
    <w:rsid w:val="00AB5F22"/>
    <w:rsid w:val="00AB6F26"/>
    <w:rsid w:val="00AB7363"/>
    <w:rsid w:val="00AC1E5C"/>
    <w:rsid w:val="00AD40F4"/>
    <w:rsid w:val="00B210A2"/>
    <w:rsid w:val="00B42B7B"/>
    <w:rsid w:val="00B45760"/>
    <w:rsid w:val="00B5049D"/>
    <w:rsid w:val="00B53868"/>
    <w:rsid w:val="00B56AE4"/>
    <w:rsid w:val="00B56ED4"/>
    <w:rsid w:val="00BA128C"/>
    <w:rsid w:val="00BA2F8F"/>
    <w:rsid w:val="00BB76F1"/>
    <w:rsid w:val="00BC02AD"/>
    <w:rsid w:val="00BC3168"/>
    <w:rsid w:val="00BD35F0"/>
    <w:rsid w:val="00BE4883"/>
    <w:rsid w:val="00BE717C"/>
    <w:rsid w:val="00BE7840"/>
    <w:rsid w:val="00C01435"/>
    <w:rsid w:val="00C03684"/>
    <w:rsid w:val="00C051F3"/>
    <w:rsid w:val="00C169F0"/>
    <w:rsid w:val="00C20F4D"/>
    <w:rsid w:val="00C21521"/>
    <w:rsid w:val="00C2200B"/>
    <w:rsid w:val="00C34CEE"/>
    <w:rsid w:val="00C707B4"/>
    <w:rsid w:val="00C8198B"/>
    <w:rsid w:val="00C876B4"/>
    <w:rsid w:val="00C93EEE"/>
    <w:rsid w:val="00CA2AA3"/>
    <w:rsid w:val="00CB26AF"/>
    <w:rsid w:val="00CB30AD"/>
    <w:rsid w:val="00CC5F56"/>
    <w:rsid w:val="00CD629B"/>
    <w:rsid w:val="00CD7A69"/>
    <w:rsid w:val="00CE03B2"/>
    <w:rsid w:val="00CE3373"/>
    <w:rsid w:val="00CE58E3"/>
    <w:rsid w:val="00D15265"/>
    <w:rsid w:val="00D24673"/>
    <w:rsid w:val="00D34F90"/>
    <w:rsid w:val="00D36372"/>
    <w:rsid w:val="00D43E98"/>
    <w:rsid w:val="00D47857"/>
    <w:rsid w:val="00D57821"/>
    <w:rsid w:val="00D61187"/>
    <w:rsid w:val="00D87884"/>
    <w:rsid w:val="00DA68CB"/>
    <w:rsid w:val="00DD7CBA"/>
    <w:rsid w:val="00E0286F"/>
    <w:rsid w:val="00E12577"/>
    <w:rsid w:val="00E13A75"/>
    <w:rsid w:val="00E232DF"/>
    <w:rsid w:val="00E25F2A"/>
    <w:rsid w:val="00E767F3"/>
    <w:rsid w:val="00E9515B"/>
    <w:rsid w:val="00EB48FD"/>
    <w:rsid w:val="00EE0951"/>
    <w:rsid w:val="00EE4AB7"/>
    <w:rsid w:val="00F15BDF"/>
    <w:rsid w:val="00F55E5E"/>
    <w:rsid w:val="00F618C7"/>
    <w:rsid w:val="00F66820"/>
    <w:rsid w:val="00F7749A"/>
    <w:rsid w:val="00F860F5"/>
    <w:rsid w:val="00FA4004"/>
    <w:rsid w:val="00FB119A"/>
    <w:rsid w:val="00FB4DF1"/>
    <w:rsid w:val="00FC0929"/>
    <w:rsid w:val="00FC2079"/>
    <w:rsid w:val="00FD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26A4"/>
  <w15:docId w15:val="{0CB7876E-4C03-4C0C-80DE-6CB4E0AE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778E7"/>
    <w:pPr>
      <w:keepNext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link w:val="Ttulo2Char"/>
    <w:qFormat/>
    <w:rsid w:val="005778E7"/>
    <w:pPr>
      <w:keepNext/>
      <w:outlineLvl w:val="1"/>
    </w:pPr>
    <w:rPr>
      <w:i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40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78E7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5778E7"/>
    <w:rPr>
      <w:rFonts w:ascii="Times New Roman" w:eastAsia="Times New Roman" w:hAnsi="Times New Roman" w:cs="Times New Roman"/>
      <w:i/>
      <w:szCs w:val="20"/>
    </w:rPr>
  </w:style>
  <w:style w:type="paragraph" w:styleId="Cabealho">
    <w:name w:val="header"/>
    <w:basedOn w:val="Normal"/>
    <w:link w:val="CabealhoChar"/>
    <w:rsid w:val="005778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778E7"/>
    <w:rPr>
      <w:rFonts w:ascii="Times New Roman" w:eastAsia="Times New Roman" w:hAnsi="Times New Roman" w:cs="Times New Roman"/>
      <w:sz w:val="20"/>
      <w:szCs w:val="20"/>
    </w:rPr>
  </w:style>
  <w:style w:type="paragraph" w:styleId="Corpodetexto2">
    <w:name w:val="Body Text 2"/>
    <w:basedOn w:val="Normal"/>
    <w:link w:val="Corpodetexto2Char"/>
    <w:rsid w:val="005778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778E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5778E7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5778E7"/>
    <w:pPr>
      <w:ind w:left="720"/>
      <w:contextualSpacing/>
    </w:pPr>
    <w:rPr>
      <w:rFonts w:ascii="Arial" w:hAnsi="Arial"/>
      <w:sz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778E7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7D2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7401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odap">
    <w:name w:val="footer"/>
    <w:basedOn w:val="Normal"/>
    <w:link w:val="RodapChar"/>
    <w:unhideWhenUsed/>
    <w:rsid w:val="00CD7A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7A69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0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263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IndicePirmeiroNvel">
    <w:name w:val="Indice Pirmeiro Nível"/>
    <w:basedOn w:val="PargrafodaLista"/>
    <w:qFormat/>
    <w:rsid w:val="00C34CEE"/>
    <w:pPr>
      <w:numPr>
        <w:numId w:val="7"/>
      </w:numPr>
      <w:spacing w:after="80"/>
      <w:ind w:left="357" w:hanging="357"/>
      <w:contextualSpacing w:val="0"/>
      <w:jc w:val="both"/>
    </w:pPr>
    <w:rPr>
      <w:rFonts w:ascii="Times New Roman" w:hAnsi="Times New Roman"/>
      <w:b/>
      <w:bCs/>
      <w:sz w:val="20"/>
      <w:szCs w:val="24"/>
      <w:u w:val="single"/>
    </w:rPr>
  </w:style>
  <w:style w:type="paragraph" w:customStyle="1" w:styleId="IndiceSegundoNivel">
    <w:name w:val="Indice Segundo N´´ivel"/>
    <w:basedOn w:val="IndicePirmeiroNvel"/>
    <w:qFormat/>
    <w:rsid w:val="00C34CEE"/>
    <w:pPr>
      <w:numPr>
        <w:ilvl w:val="1"/>
      </w:numPr>
      <w:tabs>
        <w:tab w:val="num" w:pos="360"/>
      </w:tabs>
      <w:spacing w:before="120" w:after="40"/>
      <w:ind w:left="426"/>
    </w:pPr>
    <w:rPr>
      <w:u w:val="none"/>
    </w:rPr>
  </w:style>
  <w:style w:type="paragraph" w:customStyle="1" w:styleId="IndiceTerceiroNvel">
    <w:name w:val="Indice Terceiro Nível"/>
    <w:basedOn w:val="IndiceSegundoNivel"/>
    <w:qFormat/>
    <w:rsid w:val="00C34CEE"/>
    <w:pPr>
      <w:numPr>
        <w:ilvl w:val="2"/>
      </w:numPr>
      <w:tabs>
        <w:tab w:val="num" w:pos="360"/>
      </w:tabs>
      <w:spacing w:before="0" w:after="0"/>
      <w:ind w:left="505" w:hanging="505"/>
    </w:pPr>
    <w:rPr>
      <w:b w:val="0"/>
    </w:rPr>
  </w:style>
  <w:style w:type="paragraph" w:customStyle="1" w:styleId="IndiceQuartoNvel">
    <w:name w:val="Indice Quarto Nível"/>
    <w:basedOn w:val="IndiceTerceiroNvel"/>
    <w:link w:val="IndiceQuartoNvelChar"/>
    <w:qFormat/>
    <w:rsid w:val="00C34CEE"/>
    <w:pPr>
      <w:numPr>
        <w:ilvl w:val="0"/>
        <w:numId w:val="8"/>
      </w:numPr>
      <w:tabs>
        <w:tab w:val="num" w:pos="360"/>
      </w:tabs>
      <w:ind w:left="360"/>
    </w:pPr>
  </w:style>
  <w:style w:type="character" w:customStyle="1" w:styleId="IndiceQuartoNvelChar">
    <w:name w:val="Indice Quarto Nível Char"/>
    <w:basedOn w:val="Fontepargpadro"/>
    <w:link w:val="IndiceQuartoNvel"/>
    <w:rsid w:val="00C34CEE"/>
    <w:rPr>
      <w:rFonts w:ascii="Times New Roman" w:eastAsia="Times New Roman" w:hAnsi="Times New Roman" w:cs="Times New Roman"/>
      <w:bCs/>
      <w:sz w:val="20"/>
      <w:szCs w:val="24"/>
      <w:lang w:eastAsia="pt-BR"/>
    </w:rPr>
  </w:style>
  <w:style w:type="paragraph" w:customStyle="1" w:styleId="NvelQuatro">
    <w:name w:val="Nível Quatro"/>
    <w:basedOn w:val="IndiceTerceiroNvel"/>
    <w:link w:val="NvelQuatroChar"/>
    <w:qFormat/>
    <w:rsid w:val="00C34CEE"/>
    <w:pPr>
      <w:numPr>
        <w:ilvl w:val="3"/>
      </w:numPr>
      <w:tabs>
        <w:tab w:val="num" w:pos="360"/>
      </w:tabs>
    </w:pPr>
  </w:style>
  <w:style w:type="character" w:customStyle="1" w:styleId="NvelQuatroChar">
    <w:name w:val="Nível Quatro Char"/>
    <w:basedOn w:val="Fontepargpadro"/>
    <w:link w:val="NvelQuatro"/>
    <w:rsid w:val="00C34CEE"/>
    <w:rPr>
      <w:rFonts w:ascii="Times New Roman" w:eastAsia="Times New Roman" w:hAnsi="Times New Roman" w:cs="Times New Roman"/>
      <w:bCs/>
      <w:sz w:val="20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68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1266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Euvaldo Lodi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 Cristina Da Costa Alencar</dc:creator>
  <cp:keywords/>
  <dc:description/>
  <cp:lastModifiedBy>Nígia Rafaela Fernandes Maluf</cp:lastModifiedBy>
  <cp:revision>3</cp:revision>
  <cp:lastPrinted>2019-07-30T18:31:00Z</cp:lastPrinted>
  <dcterms:created xsi:type="dcterms:W3CDTF">2021-11-22T21:03:00Z</dcterms:created>
  <dcterms:modified xsi:type="dcterms:W3CDTF">2021-11-22T21:03:00Z</dcterms:modified>
</cp:coreProperties>
</file>