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527A" w14:textId="4B269A28" w:rsidR="00257CC4" w:rsidRDefault="001B1344" w:rsidP="00A33A89">
      <w:pPr>
        <w:jc w:val="left"/>
      </w:pPr>
      <w:r>
        <w:rPr>
          <w:noProof/>
          <w:lang w:eastAsia="pt-BR"/>
        </w:rPr>
        <w:drawing>
          <wp:inline distT="0" distB="0" distL="0" distR="0" wp14:anchorId="713CEC0D" wp14:editId="21157B03">
            <wp:extent cx="1026544" cy="1233827"/>
            <wp:effectExtent l="0" t="0" r="2540" b="4445"/>
            <wp:docPr id="1759118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1816" name="Imagem 17591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37" cy="12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C4">
        <w:t xml:space="preserve">                    </w:t>
      </w:r>
      <w:r w:rsidR="001035E4">
        <w:t xml:space="preserve">                          </w:t>
      </w:r>
      <w:r w:rsidR="00257CC4">
        <w:t xml:space="preserve">               </w:t>
      </w:r>
      <w:r w:rsidR="001035E4">
        <w:rPr>
          <w:noProof/>
          <w:lang w:eastAsia="pt-BR"/>
        </w:rPr>
        <w:drawing>
          <wp:inline distT="0" distB="0" distL="0" distR="0" wp14:anchorId="4259C7E5" wp14:editId="54D98684">
            <wp:extent cx="1233578" cy="1253637"/>
            <wp:effectExtent l="0" t="0" r="5080" b="3810"/>
            <wp:docPr id="2897362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36262" name="Imagem 2897362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310" cy="130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8CDD9" w14:textId="678170AC" w:rsidR="00C5208C" w:rsidRDefault="00257CC4" w:rsidP="00C5208C">
      <w:pPr>
        <w:ind w:left="709" w:right="142" w:firstLine="0"/>
        <w:jc w:val="center"/>
        <w:rPr>
          <w:b/>
          <w:sz w:val="32"/>
        </w:rPr>
      </w:pPr>
      <w:r>
        <w:rPr>
          <w:b/>
          <w:sz w:val="32"/>
        </w:rPr>
        <w:t xml:space="preserve">Manual de </w:t>
      </w:r>
      <w:r w:rsidR="008505F8">
        <w:rPr>
          <w:b/>
          <w:sz w:val="32"/>
        </w:rPr>
        <w:t>operação</w:t>
      </w:r>
      <w:r w:rsidR="00C5208C">
        <w:rPr>
          <w:b/>
          <w:sz w:val="32"/>
        </w:rPr>
        <w:t xml:space="preserve"> do Modelo H2V-IEPUC </w:t>
      </w:r>
    </w:p>
    <w:p w14:paraId="50D26625" w14:textId="77777777" w:rsidR="00C5208C" w:rsidRDefault="00C5208C" w:rsidP="00C5208C">
      <w:pPr>
        <w:ind w:left="709" w:right="142" w:firstLine="0"/>
        <w:jc w:val="center"/>
        <w:rPr>
          <w:b/>
          <w:sz w:val="32"/>
        </w:rPr>
      </w:pPr>
    </w:p>
    <w:p w14:paraId="0EDA3320" w14:textId="749A914B" w:rsidR="00C5208C" w:rsidRDefault="00C5208C" w:rsidP="00C5208C">
      <w:pPr>
        <w:ind w:left="709" w:right="142" w:firstLine="0"/>
        <w:jc w:val="center"/>
        <w:rPr>
          <w:b/>
          <w:sz w:val="32"/>
        </w:rPr>
      </w:pPr>
      <w:r>
        <w:rPr>
          <w:b/>
          <w:sz w:val="32"/>
        </w:rPr>
        <w:t>Modelo de Avaliação Técnica e Econômica de Projetos de Hidrogênio Verde</w:t>
      </w:r>
    </w:p>
    <w:p w14:paraId="0F658D2B" w14:textId="77777777" w:rsidR="00C5208C" w:rsidRDefault="00C5208C" w:rsidP="00EB4B1A">
      <w:pPr>
        <w:jc w:val="center"/>
        <w:rPr>
          <w:b/>
        </w:rPr>
      </w:pPr>
    </w:p>
    <w:p w14:paraId="13924F8A" w14:textId="6C1F7F5A" w:rsidR="00257CC4" w:rsidRPr="0030060B" w:rsidRDefault="00257CC4" w:rsidP="00EB4B1A">
      <w:pPr>
        <w:jc w:val="center"/>
        <w:rPr>
          <w:b/>
          <w:bCs/>
        </w:rPr>
      </w:pPr>
      <w:r w:rsidRPr="00E80744">
        <w:rPr>
          <w:b/>
        </w:rPr>
        <w:t>Projeto de Pesquisa para</w:t>
      </w:r>
    </w:p>
    <w:p w14:paraId="6F022012" w14:textId="77777777" w:rsidR="00257CC4" w:rsidRDefault="00257CC4" w:rsidP="00257CC4">
      <w:pPr>
        <w:jc w:val="center"/>
        <w:rPr>
          <w:b/>
          <w:bCs/>
          <w:sz w:val="28"/>
          <w:szCs w:val="28"/>
        </w:rPr>
      </w:pPr>
      <w:r w:rsidRPr="0030060B">
        <w:rPr>
          <w:b/>
          <w:bCs/>
          <w:noProof/>
          <w:sz w:val="28"/>
          <w:szCs w:val="28"/>
          <w:lang w:eastAsia="pt-BR"/>
        </w:rPr>
        <w:drawing>
          <wp:inline distT="0" distB="0" distL="0" distR="0" wp14:anchorId="5FC8A176" wp14:editId="2EE721BB">
            <wp:extent cx="1936844" cy="531451"/>
            <wp:effectExtent l="0" t="0" r="6350" b="2540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414" cy="53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5428F" w14:textId="77777777" w:rsidR="00257CC4" w:rsidRDefault="00257CC4" w:rsidP="00257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</w:p>
    <w:p w14:paraId="5C2730B4" w14:textId="77777777" w:rsidR="00257CC4" w:rsidRDefault="00257CC4" w:rsidP="00257CC4">
      <w:pPr>
        <w:jc w:val="center"/>
        <w:rPr>
          <w:b/>
          <w:bCs/>
          <w:sz w:val="28"/>
          <w:szCs w:val="28"/>
        </w:rPr>
      </w:pPr>
      <w:r w:rsidRPr="0030060B">
        <w:rPr>
          <w:b/>
          <w:bCs/>
          <w:noProof/>
          <w:sz w:val="28"/>
          <w:szCs w:val="28"/>
          <w:lang w:eastAsia="pt-BR"/>
        </w:rPr>
        <w:drawing>
          <wp:inline distT="0" distB="0" distL="0" distR="0" wp14:anchorId="7405D20E" wp14:editId="1E585C19">
            <wp:extent cx="1895740" cy="600159"/>
            <wp:effectExtent l="0" t="0" r="9525" b="9525"/>
            <wp:docPr id="5" name="Imagem 5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enho de um círculo&#10;&#10;Descrição gerada automaticamente com confiança mé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71C2" w14:textId="77777777" w:rsidR="00257CC4" w:rsidRPr="00CB63EE" w:rsidRDefault="00257CC4" w:rsidP="00257CC4">
      <w:pPr>
        <w:spacing w:after="0" w:line="240" w:lineRule="auto"/>
        <w:jc w:val="right"/>
        <w:rPr>
          <w:b/>
          <w:color w:val="000000" w:themeColor="text1"/>
          <w:sz w:val="20"/>
          <w:szCs w:val="18"/>
        </w:rPr>
      </w:pPr>
      <w:r w:rsidRPr="00CB63EE">
        <w:rPr>
          <w:b/>
          <w:color w:val="000000" w:themeColor="text1"/>
          <w:sz w:val="20"/>
          <w:szCs w:val="18"/>
        </w:rPr>
        <w:t xml:space="preserve">Equipe: </w:t>
      </w:r>
    </w:p>
    <w:p w14:paraId="6B7FE682" w14:textId="77777777" w:rsidR="00257CC4" w:rsidRPr="004A2F86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bookmarkStart w:id="0" w:name="_Hlk125983343"/>
      <w:bookmarkStart w:id="1" w:name="_Hlk125987795"/>
      <w:r w:rsidRPr="004A2F86">
        <w:rPr>
          <w:bCs/>
          <w:color w:val="000000" w:themeColor="text1"/>
          <w:sz w:val="20"/>
          <w:szCs w:val="18"/>
        </w:rPr>
        <w:t>Edmar de Almeida</w:t>
      </w:r>
    </w:p>
    <w:p w14:paraId="24BAEA8F" w14:textId="77777777" w:rsidR="00257CC4" w:rsidRPr="00DB1C3E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r w:rsidRPr="00DB1C3E">
        <w:rPr>
          <w:bCs/>
          <w:color w:val="000000" w:themeColor="text1"/>
          <w:sz w:val="20"/>
          <w:szCs w:val="18"/>
        </w:rPr>
        <w:t>Eloy Fernandez y Fernandez</w:t>
      </w:r>
    </w:p>
    <w:p w14:paraId="31C547FE" w14:textId="77777777" w:rsidR="00257CC4" w:rsidRPr="00DB1C3E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r w:rsidRPr="00DB1C3E">
        <w:rPr>
          <w:bCs/>
          <w:color w:val="000000" w:themeColor="text1"/>
          <w:sz w:val="20"/>
          <w:szCs w:val="18"/>
        </w:rPr>
        <w:t>Florian Pradelle</w:t>
      </w:r>
    </w:p>
    <w:p w14:paraId="78679F28" w14:textId="77777777" w:rsidR="00257CC4" w:rsidRPr="004A2F86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r>
        <w:rPr>
          <w:bCs/>
          <w:color w:val="000000" w:themeColor="text1"/>
          <w:sz w:val="20"/>
          <w:szCs w:val="18"/>
        </w:rPr>
        <w:t>Guilherme Fortunato</w:t>
      </w:r>
    </w:p>
    <w:p w14:paraId="3A51B11A" w14:textId="77777777" w:rsidR="00257CC4" w:rsidRPr="004A2F86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r w:rsidRPr="004A2F86">
        <w:rPr>
          <w:bCs/>
          <w:color w:val="000000" w:themeColor="text1"/>
          <w:sz w:val="20"/>
          <w:szCs w:val="18"/>
        </w:rPr>
        <w:t>Luis Mendonça</w:t>
      </w:r>
    </w:p>
    <w:p w14:paraId="6B03F7C0" w14:textId="77777777" w:rsidR="00257CC4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r w:rsidRPr="004A2F86">
        <w:rPr>
          <w:bCs/>
          <w:color w:val="000000" w:themeColor="text1"/>
          <w:sz w:val="20"/>
          <w:szCs w:val="18"/>
        </w:rPr>
        <w:t>Sergio Ca</w:t>
      </w:r>
      <w:r>
        <w:rPr>
          <w:bCs/>
          <w:color w:val="000000" w:themeColor="text1"/>
          <w:sz w:val="20"/>
          <w:szCs w:val="18"/>
        </w:rPr>
        <w:t>s</w:t>
      </w:r>
      <w:r w:rsidRPr="004A2F86">
        <w:rPr>
          <w:bCs/>
          <w:color w:val="000000" w:themeColor="text1"/>
          <w:sz w:val="20"/>
          <w:szCs w:val="18"/>
        </w:rPr>
        <w:t>ti</w:t>
      </w:r>
      <w:r>
        <w:rPr>
          <w:bCs/>
          <w:color w:val="000000" w:themeColor="text1"/>
          <w:sz w:val="20"/>
          <w:szCs w:val="18"/>
        </w:rPr>
        <w:t>ñ</w:t>
      </w:r>
      <w:r w:rsidRPr="004A2F86">
        <w:rPr>
          <w:bCs/>
          <w:color w:val="000000" w:themeColor="text1"/>
          <w:sz w:val="20"/>
          <w:szCs w:val="18"/>
        </w:rPr>
        <w:t>eiras</w:t>
      </w:r>
    </w:p>
    <w:p w14:paraId="124481A1" w14:textId="77777777" w:rsidR="00257CC4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  <w:r>
        <w:rPr>
          <w:bCs/>
          <w:color w:val="000000" w:themeColor="text1"/>
          <w:sz w:val="20"/>
          <w:szCs w:val="18"/>
        </w:rPr>
        <w:t>Sidnei Cardoso</w:t>
      </w:r>
      <w:bookmarkEnd w:id="0"/>
    </w:p>
    <w:p w14:paraId="15BD9D11" w14:textId="77777777" w:rsidR="00257CC4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</w:p>
    <w:p w14:paraId="7B417B7F" w14:textId="77777777" w:rsidR="00257CC4" w:rsidRPr="004A2F86" w:rsidRDefault="00257CC4" w:rsidP="00257CC4">
      <w:pPr>
        <w:spacing w:after="0" w:line="240" w:lineRule="auto"/>
        <w:jc w:val="right"/>
        <w:rPr>
          <w:bCs/>
          <w:color w:val="000000" w:themeColor="text1"/>
          <w:sz w:val="20"/>
          <w:szCs w:val="18"/>
        </w:rPr>
      </w:pPr>
    </w:p>
    <w:bookmarkEnd w:id="1"/>
    <w:p w14:paraId="758B2D49" w14:textId="16A5A7B5" w:rsidR="00E536F1" w:rsidRDefault="00C5208C" w:rsidP="00E8117A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color w:val="000000" w:themeColor="text1"/>
        </w:rPr>
        <w:t>Setembro</w:t>
      </w:r>
      <w:r w:rsidR="00257CC4" w:rsidRPr="00CD3208">
        <w:rPr>
          <w:b/>
          <w:color w:val="000000" w:themeColor="text1"/>
        </w:rPr>
        <w:t xml:space="preserve"> de 202</w:t>
      </w:r>
      <w:r w:rsidR="00257CC4">
        <w:rPr>
          <w:b/>
          <w:color w:val="000000" w:themeColor="text1"/>
        </w:rPr>
        <w:t>3</w:t>
      </w:r>
      <w:bookmarkStart w:id="2" w:name="_Hlk137222822"/>
      <w:r w:rsidR="00E536F1">
        <w:rPr>
          <w:rFonts w:cs="Arial"/>
          <w:b/>
          <w:bCs/>
          <w:sz w:val="28"/>
          <w:szCs w:val="28"/>
        </w:rPr>
        <w:br w:type="page"/>
      </w:r>
    </w:p>
    <w:bookmarkEnd w:id="2" w:displacedByCustomXml="next"/>
    <w:sdt>
      <w:sdtPr>
        <w:rPr>
          <w:rFonts w:ascii="Arial" w:eastAsiaTheme="minorHAnsi" w:hAnsi="Arial" w:cstheme="minorBidi"/>
          <w:color w:val="auto"/>
          <w:sz w:val="24"/>
          <w:szCs w:val="22"/>
          <w:lang w:val="pt-BR" w:eastAsia="en-US"/>
        </w:rPr>
        <w:id w:val="-1604412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A04B16" w14:textId="77777777" w:rsidR="000D5061" w:rsidRPr="00A33A89" w:rsidRDefault="000D5061" w:rsidP="00063D58">
          <w:pPr>
            <w:pStyle w:val="CabealhodoSumrio"/>
            <w:rPr>
              <w:b/>
              <w:bCs/>
              <w:color w:val="auto"/>
            </w:rPr>
          </w:pPr>
          <w:r w:rsidRPr="00A33A89">
            <w:rPr>
              <w:b/>
              <w:bCs/>
              <w:color w:val="auto"/>
            </w:rPr>
            <w:t>Sumário</w:t>
          </w:r>
        </w:p>
        <w:p w14:paraId="60D81CD4" w14:textId="3DD7CFC4" w:rsidR="00063D58" w:rsidRDefault="000D5061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213636" w:history="1">
            <w:r w:rsidR="00063D58" w:rsidRPr="00BA4C3B">
              <w:rPr>
                <w:rStyle w:val="Hyperlink"/>
                <w:noProof/>
              </w:rPr>
              <w:t>1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Manual de operação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_Toc144213636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3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5DD6EB39" w14:textId="7DD02EF7" w:rsidR="00063D58" w:rsidRDefault="00000000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37" w:history="1">
            <w:r w:rsidR="00063D58" w:rsidRPr="00BA4C3B">
              <w:rPr>
                <w:rStyle w:val="Hyperlink"/>
                <w:noProof/>
              </w:rPr>
              <w:t>2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Premissas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_Toc144213637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4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190ACD5D" w14:textId="325DB86C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38" w:history="1">
            <w:r w:rsidR="00063D58" w:rsidRPr="00BA4C3B">
              <w:rPr>
                <w:rStyle w:val="Hyperlink"/>
                <w:noProof/>
              </w:rPr>
              <w:t>2.1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Conversores de unidades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_Toc144213638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4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4E753297" w14:textId="453D6BA8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39" w:history="1">
            <w:r w:rsidR="00063D58" w:rsidRPr="00BA4C3B">
              <w:rPr>
                <w:rStyle w:val="Hyperlink"/>
                <w:noProof/>
              </w:rPr>
              <w:t>2.2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Premissas adicionais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_Toc144213639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4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0122A17A" w14:textId="26DE1067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0" w:history="1">
            <w:r w:rsidR="00063D58" w:rsidRPr="00BA4C3B">
              <w:rPr>
                <w:rStyle w:val="Hyperlink"/>
                <w:noProof/>
              </w:rPr>
              <w:t>2.3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Lista de combustíveis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_Toc144213640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4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289977E6" w14:textId="09055CB4" w:rsidR="00063D58" w:rsidRDefault="00000000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1" w:history="1">
            <w:r w:rsidR="00063D58" w:rsidRPr="00BA4C3B">
              <w:rPr>
                <w:rStyle w:val="Hyperlink"/>
                <w:noProof/>
              </w:rPr>
              <w:t>3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Eletrolisadores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_Toc144213641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5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22997D56" w14:textId="07BA0B6C" w:rsidR="00063D58" w:rsidRDefault="00000000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2" w:history="1">
            <w:r w:rsidR="00063D58" w:rsidRPr="00BA4C3B">
              <w:rPr>
                <w:rStyle w:val="Hyperlink"/>
                <w:noProof/>
              </w:rPr>
              <w:t>4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Entrada de dados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_Toc144213642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5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756A15DB" w14:textId="5F4CAA50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3" w:history="1">
            <w:r w:rsidR="00063D58" w:rsidRPr="00BA4C3B">
              <w:rPr>
                <w:rStyle w:val="Hyperlink"/>
                <w:noProof/>
              </w:rPr>
              <w:t>4.1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Diagnóstico e análise preliminar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_Toc144213643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5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01D5714E" w14:textId="67533494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4" w:history="1">
            <w:r w:rsidR="00063D58" w:rsidRPr="00BA4C3B">
              <w:rPr>
                <w:rStyle w:val="Hyperlink"/>
                <w:noProof/>
              </w:rPr>
              <w:t>4.2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Preços e custos de insumos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_Toc144213644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7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74686711" w14:textId="04C1BDEC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5" w:history="1">
            <w:r w:rsidR="00063D58" w:rsidRPr="00BA4C3B">
              <w:rPr>
                <w:rStyle w:val="Hyperlink"/>
                <w:noProof/>
              </w:rPr>
              <w:t>4.3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Condições operacionais do projeto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_Toc144213645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8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6446FE0C" w14:textId="668671FA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6" w:history="1">
            <w:r w:rsidR="00063D58" w:rsidRPr="00BA4C3B">
              <w:rPr>
                <w:rStyle w:val="Hyperlink"/>
                <w:noProof/>
              </w:rPr>
              <w:t>4.4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Seção de eletrolisadores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_Toc144213646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8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128D017B" w14:textId="05BE9D42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7" w:history="1">
            <w:r w:rsidR="00063D58" w:rsidRPr="00BA4C3B">
              <w:rPr>
                <w:rStyle w:val="Hyperlink"/>
                <w:noProof/>
              </w:rPr>
              <w:t>4.5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Seleção de eletrolisadores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_Toc144213647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9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467E8D78" w14:textId="2C71D243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48" w:history="1">
            <w:r w:rsidR="00063D58" w:rsidRPr="00BA4C3B">
              <w:rPr>
                <w:rStyle w:val="Hyperlink"/>
                <w:noProof/>
              </w:rPr>
              <w:t>4.6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Custos de capital e operacionais do eletrolisador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_Toc144213648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10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000620DF" w14:textId="71EF800A" w:rsidR="00063D58" w:rsidRDefault="00000000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51" w:history="1">
            <w:r w:rsidR="00063D58" w:rsidRPr="00BA4C3B">
              <w:rPr>
                <w:rStyle w:val="Hyperlink"/>
                <w:noProof/>
              </w:rPr>
              <w:t>5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Simulação e fluxo de caixa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_Toc144213651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11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0627AA30" w14:textId="58E873C0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52" w:history="1">
            <w:r w:rsidR="00063D58" w:rsidRPr="00BA4C3B">
              <w:rPr>
                <w:rStyle w:val="Hyperlink"/>
                <w:noProof/>
              </w:rPr>
              <w:t>5.1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Fluxos físicos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_Toc144213652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11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3AB89622" w14:textId="63AF2DB3" w:rsidR="00063D58" w:rsidRDefault="00000000">
          <w:pPr>
            <w:pStyle w:val="Sumrio2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53" w:history="1">
            <w:r w:rsidR="00063D58" w:rsidRPr="00BA4C3B">
              <w:rPr>
                <w:rStyle w:val="Hyperlink"/>
                <w:noProof/>
              </w:rPr>
              <w:t>5.2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Fluxo de caixa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_Toc144213653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12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56645B4E" w14:textId="0C52543D" w:rsidR="00063D58" w:rsidRDefault="00000000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54" w:history="1">
            <w:r w:rsidR="00063D58" w:rsidRPr="00BA4C3B">
              <w:rPr>
                <w:rStyle w:val="Hyperlink"/>
                <w:noProof/>
              </w:rPr>
              <w:t>6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Resultados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_Toc144213654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13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630F9580" w14:textId="53D98907" w:rsidR="00063D58" w:rsidRDefault="00000000">
          <w:pPr>
            <w:pStyle w:val="Sumrio1"/>
            <w:rPr>
              <w:rFonts w:asciiTheme="minorHAnsi" w:eastAsiaTheme="minorEastAsia" w:hAnsiTheme="minorHAnsi"/>
              <w:noProof/>
              <w:kern w:val="2"/>
              <w:sz w:val="22"/>
              <w:lang w:eastAsia="pt-BR"/>
              <w14:ligatures w14:val="standardContextual"/>
            </w:rPr>
          </w:pPr>
          <w:hyperlink w:anchor="_Toc144213655" w:history="1">
            <w:r w:rsidR="00063D58" w:rsidRPr="00BA4C3B">
              <w:rPr>
                <w:rStyle w:val="Hyperlink"/>
                <w:noProof/>
              </w:rPr>
              <w:t>7</w:t>
            </w:r>
            <w:r w:rsidR="00063D58">
              <w:rPr>
                <w:rFonts w:asciiTheme="minorHAnsi" w:eastAsiaTheme="minorEastAsia" w:hAnsiTheme="minorHAnsi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63D58" w:rsidRPr="00BA4C3B">
              <w:rPr>
                <w:rStyle w:val="Hyperlink"/>
                <w:noProof/>
              </w:rPr>
              <w:t>Análise de sensibilidade</w:t>
            </w:r>
            <w:r w:rsidR="00063D58">
              <w:rPr>
                <w:noProof/>
                <w:webHidden/>
              </w:rPr>
              <w:tab/>
            </w:r>
            <w:r w:rsidR="00063D58">
              <w:rPr>
                <w:noProof/>
                <w:webHidden/>
              </w:rPr>
              <w:fldChar w:fldCharType="begin"/>
            </w:r>
            <w:r w:rsidR="00063D58">
              <w:rPr>
                <w:noProof/>
                <w:webHidden/>
              </w:rPr>
              <w:instrText xml:space="preserve"> PAGEREF _Toc144213655 \h </w:instrText>
            </w:r>
            <w:r w:rsidR="00063D58">
              <w:rPr>
                <w:noProof/>
                <w:webHidden/>
              </w:rPr>
            </w:r>
            <w:r w:rsidR="00063D58">
              <w:rPr>
                <w:noProof/>
                <w:webHidden/>
              </w:rPr>
              <w:fldChar w:fldCharType="separate"/>
            </w:r>
            <w:r w:rsidR="00F40CBB">
              <w:rPr>
                <w:noProof/>
                <w:webHidden/>
              </w:rPr>
              <w:t>14</w:t>
            </w:r>
            <w:r w:rsidR="00063D58">
              <w:rPr>
                <w:noProof/>
                <w:webHidden/>
              </w:rPr>
              <w:fldChar w:fldCharType="end"/>
            </w:r>
          </w:hyperlink>
        </w:p>
        <w:p w14:paraId="1F6D4510" w14:textId="300430C7" w:rsidR="000D5061" w:rsidRDefault="000D5061">
          <w:r>
            <w:rPr>
              <w:b/>
              <w:bCs/>
            </w:rPr>
            <w:fldChar w:fldCharType="end"/>
          </w:r>
        </w:p>
      </w:sdtContent>
    </w:sdt>
    <w:p w14:paraId="23264ACC" w14:textId="07AC7768" w:rsidR="009F669B" w:rsidRDefault="009F669B">
      <w:pPr>
        <w:spacing w:line="259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420C55F" w14:textId="6B4D8F18" w:rsidR="00A7626F" w:rsidRDefault="000D5061" w:rsidP="00063D58">
      <w:pPr>
        <w:pStyle w:val="Ttulo1"/>
      </w:pPr>
      <w:bookmarkStart w:id="3" w:name="_Hlk144203257"/>
      <w:r>
        <w:lastRenderedPageBreak/>
        <w:t xml:space="preserve"> </w:t>
      </w:r>
      <w:bookmarkStart w:id="4" w:name="_Toc144213636"/>
      <w:r w:rsidR="00C16426">
        <w:t>Manual de</w:t>
      </w:r>
      <w:r w:rsidR="00323E5D">
        <w:t xml:space="preserve"> operação</w:t>
      </w:r>
      <w:bookmarkEnd w:id="4"/>
    </w:p>
    <w:p w14:paraId="29911F62" w14:textId="5E83B5BE" w:rsidR="00B86503" w:rsidRDefault="00A55B59" w:rsidP="000A4E19">
      <w:r>
        <w:t xml:space="preserve">Este manual tem o objetivo de auxiliar </w:t>
      </w:r>
      <w:r w:rsidR="00B86503">
        <w:t xml:space="preserve">o usuário </w:t>
      </w:r>
      <w:r>
        <w:t>na operação d</w:t>
      </w:r>
      <w:r w:rsidR="00B86503">
        <w:t>o</w:t>
      </w:r>
      <w:r>
        <w:t xml:space="preserve"> </w:t>
      </w:r>
      <w:r w:rsidR="00B86503">
        <w:t xml:space="preserve">software </w:t>
      </w:r>
      <w:r w:rsidR="000A4E19">
        <w:t xml:space="preserve">de avaliação </w:t>
      </w:r>
      <w:r w:rsidR="0051381D">
        <w:t>técnico-</w:t>
      </w:r>
      <w:r w:rsidR="000A4E19">
        <w:t xml:space="preserve">econômica para </w:t>
      </w:r>
      <w:r w:rsidR="0051381D">
        <w:t xml:space="preserve">simulação do fluxo de caixa de </w:t>
      </w:r>
      <w:r w:rsidR="000A4E19">
        <w:t>projetos de hidrogênio verde</w:t>
      </w:r>
      <w:r w:rsidR="00FA2A1D">
        <w:t>,</w:t>
      </w:r>
      <w:r w:rsidR="000A4E19">
        <w:t xml:space="preserve"> </w:t>
      </w:r>
      <w:r w:rsidR="00B86503">
        <w:t>oferecido pela Confederação Nacional da Industria no âmbito do Hidrogênio Sustentável como vetor de descarbonização</w:t>
      </w:r>
      <w:r w:rsidR="0091530B">
        <w:t xml:space="preserve"> e</w:t>
      </w:r>
      <w:r w:rsidR="00B86503">
        <w:t xml:space="preserve"> </w:t>
      </w:r>
      <w:r w:rsidR="0091530B">
        <w:t>desenvolvimento sus</w:t>
      </w:r>
      <w:r w:rsidR="009858D2">
        <w:t>ten</w:t>
      </w:r>
      <w:r w:rsidR="0091530B">
        <w:t>tável para a</w:t>
      </w:r>
      <w:r w:rsidR="00B86503">
        <w:t xml:space="preserve"> industrial brasileira.</w:t>
      </w:r>
      <w:r w:rsidR="00E8117A">
        <w:t xml:space="preserve"> Para dúvidas ou sugestões acerca do modelo econômico oferecido, entre em contato com o Instituto de Energia da PUC-Rio através do endereço eletrônico </w:t>
      </w:r>
      <w:hyperlink r:id="rId12" w:history="1">
        <w:r w:rsidR="004C0622" w:rsidRPr="004C0622">
          <w:rPr>
            <w:rStyle w:val="Hyperlink"/>
            <w:u w:val="none"/>
          </w:rPr>
          <w:t>iepuc@puc-rio.br</w:t>
        </w:r>
      </w:hyperlink>
      <w:r w:rsidR="004C0622">
        <w:rPr>
          <w:color w:val="0070C0"/>
        </w:rPr>
        <w:t xml:space="preserve"> </w:t>
      </w:r>
      <w:r w:rsidR="004C0622" w:rsidRPr="004C0622">
        <w:t>.</w:t>
      </w:r>
    </w:p>
    <w:p w14:paraId="20A3A3A6" w14:textId="4F230A7C" w:rsidR="000A4E19" w:rsidRDefault="00B86503" w:rsidP="00A55B59">
      <w:r>
        <w:t>O software foi desenvolvid</w:t>
      </w:r>
      <w:r w:rsidR="00BD7DE4">
        <w:t>o</w:t>
      </w:r>
      <w:r>
        <w:t xml:space="preserve"> com a premissa d</w:t>
      </w:r>
      <w:r w:rsidR="000A4E19">
        <w:t>a substituição parcial do combustível fóssil</w:t>
      </w:r>
      <w:r w:rsidR="00276BB3">
        <w:t>,</w:t>
      </w:r>
      <w:r w:rsidR="000A4E19">
        <w:t xml:space="preserve"> tradicionalmente usado nas operações industriais</w:t>
      </w:r>
      <w:r w:rsidR="00276BB3">
        <w:t xml:space="preserve">, por hidrogênio verde, gerado via eletrólise da água. </w:t>
      </w:r>
      <w:r w:rsidR="000052D8">
        <w:t xml:space="preserve">A </w:t>
      </w:r>
      <w:r w:rsidR="00255FF6">
        <w:t xml:space="preserve">partir dos dados de entrada, o software </w:t>
      </w:r>
      <w:r w:rsidR="00282B88">
        <w:t>simula</w:t>
      </w:r>
      <w:r w:rsidR="00CF3470">
        <w:t>,</w:t>
      </w:r>
      <w:r w:rsidR="00282B88">
        <w:t xml:space="preserve"> </w:t>
      </w:r>
      <w:r w:rsidR="00CF3470">
        <w:t xml:space="preserve">com domínio de 20 anos, </w:t>
      </w:r>
      <w:r w:rsidR="00255FF6">
        <w:t>o</w:t>
      </w:r>
      <w:r w:rsidR="000052D8">
        <w:t xml:space="preserve"> fluxo</w:t>
      </w:r>
      <w:r w:rsidR="00954E71">
        <w:t xml:space="preserve"> de insumos e o fluxo de caixa do p</w:t>
      </w:r>
      <w:r w:rsidR="003B7A3C">
        <w:t>rojeto de geração e uso d</w:t>
      </w:r>
      <w:r w:rsidR="0063251E">
        <w:t>e</w:t>
      </w:r>
      <w:r w:rsidR="003B7A3C">
        <w:t xml:space="preserve"> hidrogênio verde</w:t>
      </w:r>
      <w:r w:rsidR="00954E71">
        <w:t>.</w:t>
      </w:r>
      <w:r w:rsidR="005E1224">
        <w:t xml:space="preserve"> São</w:t>
      </w:r>
      <w:r w:rsidR="00443B4E">
        <w:t xml:space="preserve"> apresenta</w:t>
      </w:r>
      <w:r w:rsidR="005E1224">
        <w:t>dos</w:t>
      </w:r>
      <w:r w:rsidR="00443B4E">
        <w:t xml:space="preserve"> os</w:t>
      </w:r>
      <w:r w:rsidR="00255FF6">
        <w:t xml:space="preserve"> indica</w:t>
      </w:r>
      <w:r w:rsidR="00443B4E">
        <w:t>dores:</w:t>
      </w:r>
      <w:r w:rsidR="00255FF6">
        <w:t xml:space="preserve"> Valor Presente Líquido, Período de Payback</w:t>
      </w:r>
      <w:r w:rsidR="00443B4E">
        <w:t>;</w:t>
      </w:r>
      <w:r w:rsidR="00255FF6">
        <w:t xml:space="preserve"> Taxa Interna de Retorno</w:t>
      </w:r>
      <w:r w:rsidR="00443B4E">
        <w:t>;</w:t>
      </w:r>
      <w:r w:rsidR="00255FF6">
        <w:t xml:space="preserve"> Custo Nivelado do Hidrogênio Produzido</w:t>
      </w:r>
      <w:r w:rsidR="00FA3BA2">
        <w:t xml:space="preserve">; </w:t>
      </w:r>
      <w:r w:rsidR="00FA3BA2" w:rsidRPr="00A33A89">
        <w:rPr>
          <w:lang w:eastAsia="pt-BR"/>
        </w:rPr>
        <w:t>Custo de Competitividade da Fonte Fóssil; e, por fim,</w:t>
      </w:r>
      <w:r w:rsidR="00FA3BA2">
        <w:rPr>
          <w:b/>
          <w:bCs/>
          <w:lang w:eastAsia="pt-BR"/>
        </w:rPr>
        <w:t xml:space="preserve"> </w:t>
      </w:r>
      <w:r w:rsidR="00403EA4">
        <w:t>a</w:t>
      </w:r>
      <w:r w:rsidR="00FA3BA2">
        <w:t>s</w:t>
      </w:r>
      <w:r w:rsidR="00403EA4">
        <w:t xml:space="preserve"> E</w:t>
      </w:r>
      <w:r w:rsidR="00D129D5">
        <w:t>miss</w:t>
      </w:r>
      <w:r w:rsidR="00FA3BA2">
        <w:t>ões</w:t>
      </w:r>
      <w:r w:rsidR="005E1224">
        <w:t xml:space="preserve"> </w:t>
      </w:r>
      <w:r w:rsidR="00403EA4">
        <w:t>E</w:t>
      </w:r>
      <w:r w:rsidR="00D129D5">
        <w:t>vitada</w:t>
      </w:r>
      <w:r w:rsidR="00FA3BA2">
        <w:t>s</w:t>
      </w:r>
      <w:r w:rsidR="00D129D5">
        <w:t xml:space="preserve"> </w:t>
      </w:r>
      <w:r w:rsidR="005E1224">
        <w:t xml:space="preserve">de </w:t>
      </w:r>
      <w:r w:rsidR="00FA3BA2">
        <w:t>D</w:t>
      </w:r>
      <w:r w:rsidR="00D129D5">
        <w:t xml:space="preserve">ióxido de </w:t>
      </w:r>
      <w:r w:rsidR="00FA3BA2">
        <w:t>C</w:t>
      </w:r>
      <w:r w:rsidR="00D129D5">
        <w:t xml:space="preserve">arbono </w:t>
      </w:r>
      <w:r w:rsidR="00FA3BA2">
        <w:t>E</w:t>
      </w:r>
      <w:r w:rsidR="00D129D5">
        <w:t>quivalente</w:t>
      </w:r>
      <w:r w:rsidR="00FA3BA2">
        <w:t xml:space="preserve"> (CO</w:t>
      </w:r>
      <w:r w:rsidR="00FA3BA2">
        <w:rPr>
          <w:vertAlign w:val="subscript"/>
        </w:rPr>
        <w:t>2eq</w:t>
      </w:r>
      <w:r w:rsidR="00FA3BA2">
        <w:t xml:space="preserve">) </w:t>
      </w:r>
      <w:r w:rsidR="00D129D5">
        <w:t>devido ao uso de hidrogênio verde.</w:t>
      </w:r>
    </w:p>
    <w:p w14:paraId="4DBD2EEC" w14:textId="251D9966" w:rsidR="00FD77A6" w:rsidRDefault="00FA4475" w:rsidP="00250327">
      <w:r>
        <w:t>Com formato Excel, o software possui</w:t>
      </w:r>
      <w:r w:rsidR="002D5502">
        <w:t xml:space="preserve"> </w:t>
      </w:r>
      <w:r w:rsidR="003130E6">
        <w:t>7</w:t>
      </w:r>
      <w:r w:rsidR="00FD77A6">
        <w:t xml:space="preserve"> páginas: </w:t>
      </w:r>
      <w:r w:rsidR="00763DB4">
        <w:t xml:space="preserve">(1) </w:t>
      </w:r>
      <w:r w:rsidR="00736316">
        <w:t>Manual de operação</w:t>
      </w:r>
      <w:r w:rsidR="002D5502">
        <w:t xml:space="preserve">; </w:t>
      </w:r>
      <w:r w:rsidR="00763DB4">
        <w:t xml:space="preserve">(2) </w:t>
      </w:r>
      <w:r w:rsidR="00FD77A6" w:rsidRPr="002D5502">
        <w:t xml:space="preserve">Premissas; </w:t>
      </w:r>
      <w:r w:rsidR="00763DB4">
        <w:t xml:space="preserve">(3) </w:t>
      </w:r>
      <w:r w:rsidR="00FD77A6" w:rsidRPr="002D5502">
        <w:t>Eletrolisado</w:t>
      </w:r>
      <w:r w:rsidR="00FD77A6">
        <w:t xml:space="preserve">res; </w:t>
      </w:r>
      <w:r w:rsidR="00763DB4">
        <w:t xml:space="preserve">(4) </w:t>
      </w:r>
      <w:r w:rsidR="00FD77A6">
        <w:t>Entrada</w:t>
      </w:r>
      <w:r w:rsidR="00763DB4">
        <w:t xml:space="preserve"> de dados</w:t>
      </w:r>
      <w:r w:rsidR="00FD77A6">
        <w:t xml:space="preserve">; </w:t>
      </w:r>
      <w:r w:rsidR="00763DB4">
        <w:t xml:space="preserve">(5) </w:t>
      </w:r>
      <w:r w:rsidR="00FD77A6">
        <w:t xml:space="preserve">Simulação e </w:t>
      </w:r>
      <w:r w:rsidR="00763DB4">
        <w:t>f</w:t>
      </w:r>
      <w:r w:rsidR="00FD77A6">
        <w:t xml:space="preserve">luxo de </w:t>
      </w:r>
      <w:r w:rsidR="00763DB4">
        <w:t>c</w:t>
      </w:r>
      <w:r w:rsidR="00FD77A6">
        <w:t>aixa;</w:t>
      </w:r>
      <w:r w:rsidR="00763DB4">
        <w:t xml:space="preserve"> (6)</w:t>
      </w:r>
      <w:r w:rsidR="002D5502">
        <w:t xml:space="preserve"> </w:t>
      </w:r>
      <w:r w:rsidR="00FD77A6">
        <w:t>Resultados</w:t>
      </w:r>
      <w:r w:rsidR="007059EB">
        <w:t>; e (7) Análise de sensibilidade</w:t>
      </w:r>
      <w:r w:rsidR="00FD77A6">
        <w:t xml:space="preserve">. </w:t>
      </w:r>
      <w:r w:rsidR="00250327">
        <w:t>As informações para realização da simulação s</w:t>
      </w:r>
      <w:r w:rsidR="00F50D39">
        <w:t>ão</w:t>
      </w:r>
      <w:r w:rsidR="00250327">
        <w:t xml:space="preserve"> inseridas nas páginas </w:t>
      </w:r>
      <w:r w:rsidR="00763DB4">
        <w:t xml:space="preserve">(4) </w:t>
      </w:r>
      <w:r w:rsidR="004C1A75">
        <w:t>Entrada</w:t>
      </w:r>
      <w:r w:rsidR="00763DB4">
        <w:t xml:space="preserve"> de dados</w:t>
      </w:r>
      <w:r w:rsidR="004C1A75">
        <w:t xml:space="preserve"> e </w:t>
      </w:r>
      <w:r w:rsidR="00763DB4">
        <w:t xml:space="preserve">(5) </w:t>
      </w:r>
      <w:r w:rsidR="004C1A75">
        <w:t xml:space="preserve">Simulação e </w:t>
      </w:r>
      <w:r w:rsidR="00250327">
        <w:t>f</w:t>
      </w:r>
      <w:r w:rsidR="004C1A75">
        <w:t xml:space="preserve">luxo de </w:t>
      </w:r>
      <w:r w:rsidR="00250327">
        <w:t>c</w:t>
      </w:r>
      <w:r w:rsidR="004C1A75">
        <w:t>aixa</w:t>
      </w:r>
      <w:r w:rsidR="006117E1">
        <w:t xml:space="preserve"> nos campos de letras em azul</w:t>
      </w:r>
      <w:r w:rsidR="00250327">
        <w:t>. Para sinalizar os dados que devem ser inseridos</w:t>
      </w:r>
      <w:r w:rsidR="005325CB">
        <w:t xml:space="preserve"> pelo usuário</w:t>
      </w:r>
      <w:r w:rsidR="00250327">
        <w:t xml:space="preserve">, foi adotado o </w:t>
      </w:r>
      <w:r w:rsidR="00FD77A6">
        <w:t>código de cor</w:t>
      </w:r>
      <w:r w:rsidR="00250327">
        <w:t xml:space="preserve">es </w:t>
      </w:r>
      <w:r w:rsidR="005325CB">
        <w:t>que segue a</w:t>
      </w:r>
      <w:r w:rsidR="00FD77A6">
        <w:t xml:space="preserve"> Tabela 1.</w:t>
      </w:r>
    </w:p>
    <w:p w14:paraId="2A34D862" w14:textId="77F5C22A" w:rsidR="00885343" w:rsidRDefault="00885343" w:rsidP="00885343">
      <w:pPr>
        <w:pStyle w:val="Legenda"/>
        <w:keepNext/>
        <w:ind w:firstLine="0"/>
        <w:jc w:val="center"/>
      </w:pPr>
      <w:r>
        <w:t xml:space="preserve">Tabela </w:t>
      </w:r>
      <w:fldSimple w:instr=" SEQ Tabela \* ARABIC ">
        <w:r w:rsidR="00F40CBB">
          <w:rPr>
            <w:noProof/>
          </w:rPr>
          <w:t>1</w:t>
        </w:r>
      </w:fldSimple>
      <w:r>
        <w:t>: Código de cores adotados pelo software.</w:t>
      </w:r>
    </w:p>
    <w:tbl>
      <w:tblPr>
        <w:tblW w:w="4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2225"/>
      </w:tblGrid>
      <w:tr w:rsidR="00885343" w:rsidRPr="00885343" w14:paraId="2D151600" w14:textId="77777777" w:rsidTr="00C37F5C">
        <w:trPr>
          <w:trHeight w:val="323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E4E1" w14:textId="77777777" w:rsidR="00885343" w:rsidRPr="00885343" w:rsidRDefault="00885343" w:rsidP="0088534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8534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Em preto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C7625A" w14:textId="2C5CC4C6" w:rsidR="00885343" w:rsidRPr="00885343" w:rsidRDefault="00250327" w:rsidP="00DE2B0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sz w:val="22"/>
                <w:lang w:eastAsia="pt-BR"/>
              </w:rPr>
              <w:t>Informativo</w:t>
            </w:r>
          </w:p>
        </w:tc>
      </w:tr>
      <w:tr w:rsidR="00885343" w:rsidRPr="00885343" w14:paraId="31789BA9" w14:textId="77777777" w:rsidTr="00C37F5C">
        <w:trPr>
          <w:trHeight w:val="323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8C8" w14:textId="4FBCAF57" w:rsidR="00885343" w:rsidRPr="00885343" w:rsidRDefault="00885343" w:rsidP="00885343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88534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Em azul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985EC6" w14:textId="48319FB0" w:rsidR="00F418E2" w:rsidRPr="00885343" w:rsidRDefault="00C37F5C" w:rsidP="00DE2B0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FF"/>
                <w:sz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FF"/>
                <w:sz w:val="22"/>
                <w:lang w:eastAsia="pt-BR"/>
              </w:rPr>
              <w:t xml:space="preserve">Dados </w:t>
            </w:r>
            <w:r w:rsidR="00F418E2">
              <w:rPr>
                <w:rFonts w:ascii="Calibri" w:eastAsia="Times New Roman" w:hAnsi="Calibri" w:cs="Calibri"/>
                <w:color w:val="0000FF"/>
                <w:sz w:val="22"/>
                <w:lang w:eastAsia="pt-BR"/>
              </w:rPr>
              <w:t>de Entrada</w:t>
            </w:r>
          </w:p>
        </w:tc>
      </w:tr>
    </w:tbl>
    <w:p w14:paraId="18AED6EF" w14:textId="77777777" w:rsidR="003B7A3C" w:rsidRDefault="003B7A3C" w:rsidP="00FD77A6"/>
    <w:p w14:paraId="348CB9AA" w14:textId="1AD47E6B" w:rsidR="003B7A3C" w:rsidRDefault="00A128A7" w:rsidP="00FD77A6">
      <w:r>
        <w:t xml:space="preserve">Além das cores contidas na Tabela 1, a cor vermelha </w:t>
      </w:r>
      <w:r w:rsidR="00FA2A1D">
        <w:t xml:space="preserve">apresenta os </w:t>
      </w:r>
      <w:r w:rsidR="00933F0A">
        <w:t>valores</w:t>
      </w:r>
      <w:r w:rsidR="00DE2B0B">
        <w:t xml:space="preserve"> </w:t>
      </w:r>
      <w:r w:rsidR="00FA2A1D">
        <w:t>menores que zero.</w:t>
      </w:r>
    </w:p>
    <w:p w14:paraId="1EAF07A6" w14:textId="7F5A5A24" w:rsidR="00885343" w:rsidRDefault="003B7A3C" w:rsidP="00FD77A6">
      <w:r>
        <w:lastRenderedPageBreak/>
        <w:t>A seguir, são apresentados os aspectos e objetivos de cada página que compõe o software de avaliação econômica para projetos de hidrogênio verde.</w:t>
      </w:r>
    </w:p>
    <w:p w14:paraId="422238F0" w14:textId="3092323B" w:rsidR="00FA2A1D" w:rsidRDefault="00FA2A1D" w:rsidP="00063D58">
      <w:pPr>
        <w:pStyle w:val="Ttulo1"/>
      </w:pPr>
      <w:bookmarkStart w:id="5" w:name="_Toc144213637"/>
      <w:r>
        <w:t>Premissas</w:t>
      </w:r>
      <w:bookmarkEnd w:id="5"/>
    </w:p>
    <w:p w14:paraId="32998408" w14:textId="150A1094" w:rsidR="00C82D27" w:rsidRDefault="00FA2A1D" w:rsidP="006F493E">
      <w:r>
        <w:t xml:space="preserve">A página Premissas </w:t>
      </w:r>
      <w:r w:rsidR="00C82D27">
        <w:t xml:space="preserve">possui </w:t>
      </w:r>
      <w:r w:rsidR="00A973C8">
        <w:t>três</w:t>
      </w:r>
      <w:r w:rsidR="00C82D27">
        <w:t xml:space="preserve"> </w:t>
      </w:r>
      <w:r w:rsidR="00D64A12">
        <w:t>seções</w:t>
      </w:r>
      <w:r w:rsidR="00C82D27">
        <w:t xml:space="preserve"> e </w:t>
      </w:r>
      <w:r w:rsidR="00255EA5">
        <w:t>tem o obj</w:t>
      </w:r>
      <w:r>
        <w:t>etiv</w:t>
      </w:r>
      <w:r w:rsidR="00255EA5">
        <w:t>o de</w:t>
      </w:r>
      <w:r>
        <w:t xml:space="preserve"> apresenta</w:t>
      </w:r>
      <w:r w:rsidR="0035571C">
        <w:t xml:space="preserve">r as propriedades físicas e químicas dos combustíveis </w:t>
      </w:r>
      <w:r w:rsidR="008916F0">
        <w:t xml:space="preserve">disponíveis para a simulação. </w:t>
      </w:r>
      <w:r w:rsidR="006F493E">
        <w:t>Vale mencionar que</w:t>
      </w:r>
      <w:r w:rsidR="00C82D27">
        <w:t xml:space="preserve"> não é recomendada</w:t>
      </w:r>
      <w:r w:rsidR="006F493E">
        <w:t xml:space="preserve"> a edição dos valores contidos nessa página. </w:t>
      </w:r>
    </w:p>
    <w:p w14:paraId="715C2741" w14:textId="77777777" w:rsidR="00C82D27" w:rsidRDefault="00C82D27" w:rsidP="00782F9D">
      <w:pPr>
        <w:pStyle w:val="Ttulo2"/>
      </w:pPr>
      <w:bookmarkStart w:id="6" w:name="_Toc144213638"/>
      <w:r>
        <w:t>C</w:t>
      </w:r>
      <w:r w:rsidR="0035571C" w:rsidRPr="006F493E">
        <w:t>onversores de unidades</w:t>
      </w:r>
      <w:bookmarkEnd w:id="6"/>
    </w:p>
    <w:p w14:paraId="068DC529" w14:textId="21DA8F81" w:rsidR="00FA2A1D" w:rsidRDefault="00D64A12" w:rsidP="00C82D27">
      <w:r>
        <w:t>Esta seção</w:t>
      </w:r>
      <w:r w:rsidR="00F162DE">
        <w:t xml:space="preserve"> a</w:t>
      </w:r>
      <w:r w:rsidR="006F493E">
        <w:t>presenta as</w:t>
      </w:r>
      <w:r w:rsidR="008916F0">
        <w:t xml:space="preserve"> </w:t>
      </w:r>
      <w:r w:rsidR="0035571C">
        <w:t>relações entre as unidades de energia</w:t>
      </w:r>
      <w:r w:rsidR="006F493E">
        <w:t xml:space="preserve"> em Joule, Quilowatt-hora, Quilocaloria e BTU.</w:t>
      </w:r>
    </w:p>
    <w:p w14:paraId="438C28F5" w14:textId="2CBDF97D" w:rsidR="00C82D27" w:rsidRDefault="006F493E" w:rsidP="00782F9D">
      <w:pPr>
        <w:pStyle w:val="Ttulo2"/>
      </w:pPr>
      <w:bookmarkStart w:id="7" w:name="_Toc144213639"/>
      <w:r w:rsidRPr="00C82D27">
        <w:t>Premissas adicionais</w:t>
      </w:r>
      <w:bookmarkEnd w:id="7"/>
    </w:p>
    <w:p w14:paraId="2C5A78A6" w14:textId="7B9299EB" w:rsidR="00916789" w:rsidRDefault="00C82D27" w:rsidP="00C82D27">
      <w:r>
        <w:t xml:space="preserve">O fator de coprodução de oxigênio por eletrólise </w:t>
      </w:r>
      <w:r w:rsidR="00916789">
        <w:t>estabelece a massa de oxigênio produzida quando o eletrolisador produz um quilograma de hidrogênio. Esse valor foi estabelecido a partir d</w:t>
      </w:r>
      <w:r w:rsidR="00692814">
        <w:t>a estequiometria da reação de eletrólise da água</w:t>
      </w:r>
      <w:r w:rsidR="00916789">
        <w:t>.</w:t>
      </w:r>
      <w:r w:rsidR="00692814">
        <w:t xml:space="preserve"> </w:t>
      </w:r>
      <w:r w:rsidR="00916789">
        <w:t xml:space="preserve">Também, </w:t>
      </w:r>
      <w:r w:rsidR="00D64A12">
        <w:t>nesta seção</w:t>
      </w:r>
      <w:r w:rsidR="00916789">
        <w:t xml:space="preserve"> é apresentada a densidade do oxigênio</w:t>
      </w:r>
      <w:r w:rsidR="00D64A12">
        <w:t xml:space="preserve"> considerada ao longo da simulação</w:t>
      </w:r>
      <w:r w:rsidR="00916789">
        <w:t>.</w:t>
      </w:r>
    </w:p>
    <w:p w14:paraId="273D9FFB" w14:textId="20D615D9" w:rsidR="0035571C" w:rsidRDefault="00916789" w:rsidP="00782F9D">
      <w:pPr>
        <w:pStyle w:val="Ttulo2"/>
      </w:pPr>
      <w:bookmarkStart w:id="8" w:name="_Toc144213640"/>
      <w:r>
        <w:t>Lista de combustíveis</w:t>
      </w:r>
      <w:bookmarkEnd w:id="8"/>
    </w:p>
    <w:p w14:paraId="29A970B0" w14:textId="77777777" w:rsidR="005F14A4" w:rsidRDefault="00A973C8" w:rsidP="00164621">
      <w:r>
        <w:t>Nesta seção</w:t>
      </w:r>
      <w:r w:rsidR="00F162DE">
        <w:t xml:space="preserve"> são listados</w:t>
      </w:r>
      <w:r w:rsidR="00473DCF">
        <w:t xml:space="preserve"> </w:t>
      </w:r>
      <w:r w:rsidR="00F162DE">
        <w:t>os combustíveis disponíveis para realização da simulação.</w:t>
      </w:r>
      <w:r w:rsidR="00473DCF">
        <w:t xml:space="preserve"> Um desses é o hidrogênio verde e os outros quatro são combustíveis fósseis tipicamente usados na indústria. Para </w:t>
      </w:r>
      <w:r w:rsidR="00164621">
        <w:t>cada um</w:t>
      </w:r>
      <w:r w:rsidR="00473DCF">
        <w:t xml:space="preserve"> </w:t>
      </w:r>
      <w:r w:rsidR="00164621">
        <w:t>d</w:t>
      </w:r>
      <w:r w:rsidR="00473DCF">
        <w:t>esses</w:t>
      </w:r>
      <w:r w:rsidR="00164621">
        <w:t xml:space="preserve"> é</w:t>
      </w:r>
      <w:r w:rsidR="00473DCF">
        <w:t xml:space="preserve"> apresentada a</w:t>
      </w:r>
      <w:r w:rsidR="00164621">
        <w:t xml:space="preserve"> sua</w:t>
      </w:r>
      <w:r w:rsidR="00473DCF">
        <w:t xml:space="preserve"> unidade comercia</w:t>
      </w:r>
      <w:r w:rsidR="00DE2B0B">
        <w:t>l</w:t>
      </w:r>
      <w:r w:rsidR="00473DCF">
        <w:t xml:space="preserve">, </w:t>
      </w:r>
      <w:r w:rsidR="00164621">
        <w:t>densidade, poder calorífico inferior</w:t>
      </w:r>
      <w:r w:rsidR="00692814">
        <w:rPr>
          <w:rStyle w:val="Refdenotaderodap"/>
        </w:rPr>
        <w:footnoteReference w:id="1"/>
      </w:r>
      <w:r w:rsidR="00164621">
        <w:t xml:space="preserve"> e fator de emissão</w:t>
      </w:r>
      <w:r w:rsidR="00692814">
        <w:rPr>
          <w:rStyle w:val="Refdenotaderodap"/>
        </w:rPr>
        <w:footnoteReference w:id="2"/>
      </w:r>
      <w:r w:rsidR="00164621">
        <w:t>.</w:t>
      </w:r>
      <w:r w:rsidR="00FF0B16">
        <w:t xml:space="preserve"> </w:t>
      </w:r>
    </w:p>
    <w:p w14:paraId="00E83C5B" w14:textId="65E5983C" w:rsidR="003B7A3C" w:rsidRDefault="00FF0B16" w:rsidP="00164621">
      <w:r>
        <w:t>Caso o combustível típico de sua operação industrial não esteja disponível, escreva-o no campo “Outro”</w:t>
      </w:r>
      <w:r w:rsidR="00E44C60">
        <w:t>,</w:t>
      </w:r>
      <w:r>
        <w:t xml:space="preserve"> em azul</w:t>
      </w:r>
      <w:r w:rsidR="005F14A4">
        <w:t xml:space="preserve">. Nesse caso, a inserção da unidade </w:t>
      </w:r>
      <w:r w:rsidR="005F14A4">
        <w:lastRenderedPageBreak/>
        <w:t xml:space="preserve">comercial, densidade, poder calorífico inferior e fator de emissão </w:t>
      </w:r>
      <w:r w:rsidR="00C3649F">
        <w:t>do combustível adicionado deve ser feita através da seção 4.1 Diagnóstico e análise preliminar.</w:t>
      </w:r>
    </w:p>
    <w:p w14:paraId="1B85FD8E" w14:textId="48CC3B36" w:rsidR="00FD77A6" w:rsidRDefault="00164621" w:rsidP="00063D58">
      <w:pPr>
        <w:pStyle w:val="Ttulo1"/>
      </w:pPr>
      <w:bookmarkStart w:id="9" w:name="_Toc144213641"/>
      <w:r>
        <w:t>Eletrolisadores</w:t>
      </w:r>
      <w:bookmarkEnd w:id="9"/>
    </w:p>
    <w:p w14:paraId="5594891C" w14:textId="355F7E91" w:rsidR="00222EFD" w:rsidRDefault="00164621" w:rsidP="00222EFD">
      <w:r>
        <w:t xml:space="preserve">A página Eletrolisadores possui </w:t>
      </w:r>
      <w:r w:rsidR="00E44C60">
        <w:t xml:space="preserve">somente </w:t>
      </w:r>
      <w:r w:rsidR="00A973C8">
        <w:t>uma</w:t>
      </w:r>
      <w:r>
        <w:t xml:space="preserve"> </w:t>
      </w:r>
      <w:r w:rsidR="00A973C8">
        <w:t>seção</w:t>
      </w:r>
      <w:r>
        <w:t xml:space="preserve"> e tem o objetivo de apresentar as especificações técnicas de alguns eletrolisadores disponíveis no mercado. Ao todo</w:t>
      </w:r>
      <w:r w:rsidR="00222EFD">
        <w:t>, dez eletrolisadore</w:t>
      </w:r>
      <w:r w:rsidR="0042253E">
        <w:t xml:space="preserve">s distintos </w:t>
      </w:r>
      <w:r w:rsidR="00222EFD">
        <w:t xml:space="preserve">compõem </w:t>
      </w:r>
      <w:r w:rsidR="00A973C8">
        <w:t xml:space="preserve">essa seção </w:t>
      </w:r>
      <w:r w:rsidR="00222EFD">
        <w:t>que, por sua vez, serve de base de dados para realização da simulação. Vale mencionar que não é recomendada a edição dos valores contidos nessa página</w:t>
      </w:r>
      <w:r w:rsidR="00855D72">
        <w:t>, e que a</w:t>
      </w:r>
      <w:r w:rsidR="00811720">
        <w:t xml:space="preserve"> lista de eletrolisadores não é uma recomendaçã</w:t>
      </w:r>
      <w:r w:rsidR="00855D72">
        <w:t>o</w:t>
      </w:r>
      <w:r w:rsidR="00811720">
        <w:t xml:space="preserve"> e tem a finalidade exclusiva de promover opções para o usuário configurar seu cenário. O modo como essa lista é implementada na</w:t>
      </w:r>
      <w:r w:rsidR="00855D72">
        <w:t>s</w:t>
      </w:r>
      <w:r w:rsidR="00890848">
        <w:t xml:space="preserve"> (</w:t>
      </w:r>
      <w:r w:rsidR="005C22B4">
        <w:t>4</w:t>
      </w:r>
      <w:r w:rsidR="00890848">
        <w:t>)</w:t>
      </w:r>
      <w:r w:rsidR="00811720">
        <w:t xml:space="preserve"> Entradas </w:t>
      </w:r>
      <w:r w:rsidR="007C116F">
        <w:t xml:space="preserve">de dados </w:t>
      </w:r>
      <w:r w:rsidR="00811720">
        <w:t>é descrito adiante neste manual.</w:t>
      </w:r>
    </w:p>
    <w:p w14:paraId="25126562" w14:textId="2B8742C4" w:rsidR="00164621" w:rsidRDefault="001402DF" w:rsidP="00063D58">
      <w:pPr>
        <w:pStyle w:val="Ttulo1"/>
      </w:pPr>
      <w:bookmarkStart w:id="10" w:name="_Toc144213642"/>
      <w:bookmarkStart w:id="11" w:name="_Hlk142313110"/>
      <w:r>
        <w:t>Entrada</w:t>
      </w:r>
      <w:r w:rsidR="003130E6">
        <w:t xml:space="preserve"> de dados</w:t>
      </w:r>
      <w:bookmarkEnd w:id="10"/>
    </w:p>
    <w:p w14:paraId="3AAA743A" w14:textId="7803D0CA" w:rsidR="001402DF" w:rsidRDefault="001402DF" w:rsidP="001402DF">
      <w:r>
        <w:t>A página Entrada</w:t>
      </w:r>
      <w:r w:rsidR="00021B19">
        <w:t xml:space="preserve"> de dados</w:t>
      </w:r>
      <w:r>
        <w:t xml:space="preserve"> estabelece a conjectura de produção de hidrogênio verde aplicada à realidade de cada </w:t>
      </w:r>
      <w:r w:rsidR="0063251E">
        <w:t>player</w:t>
      </w:r>
      <w:r w:rsidR="007B659B">
        <w:t xml:space="preserve">. </w:t>
      </w:r>
      <w:r>
        <w:t xml:space="preserve">Inicialmente é realizado um diagnóstico e análise preliminar </w:t>
      </w:r>
      <w:r w:rsidR="007B659B">
        <w:t xml:space="preserve">para sugerir a capacidade de eletrólise requerida. Em seguida são inseridos os preços e custos dos insumos e condições operacionais do projeto. </w:t>
      </w:r>
      <w:r w:rsidR="00CB2C83">
        <w:t xml:space="preserve">Após, </w:t>
      </w:r>
      <w:r w:rsidR="00D143AF">
        <w:t xml:space="preserve">guiado pela sugestão preliminar da potência dos equipamentos, </w:t>
      </w:r>
      <w:r w:rsidR="00CB2C83">
        <w:t xml:space="preserve">são selecionados </w:t>
      </w:r>
      <w:r w:rsidR="007B659B">
        <w:t>os eletrolisadores</w:t>
      </w:r>
      <w:r w:rsidR="00CB2C83">
        <w:t xml:space="preserve">. Por fim, são </w:t>
      </w:r>
      <w:r w:rsidR="00D143AF">
        <w:t>inseridos</w:t>
      </w:r>
      <w:r w:rsidR="00CB2C83">
        <w:t xml:space="preserve"> os custos de capital e operacionais do eletrolisador. </w:t>
      </w:r>
    </w:p>
    <w:p w14:paraId="2B898AFC" w14:textId="4CCDABFD" w:rsidR="005D7A74" w:rsidRDefault="00CB2C83" w:rsidP="001402DF">
      <w:r>
        <w:t>A seguir, cada uma dessas etapas é descrita com maiores detalhes.</w:t>
      </w:r>
      <w:r w:rsidR="005D7A74">
        <w:t xml:space="preserve"> </w:t>
      </w:r>
      <w:r w:rsidR="00825365">
        <w:t>De todo modo, ao longo da edição dessa</w:t>
      </w:r>
      <w:r w:rsidR="005D7A74">
        <w:t xml:space="preserve"> página </w:t>
      </w:r>
      <w:r w:rsidR="00825365">
        <w:t xml:space="preserve">no software, é </w:t>
      </w:r>
      <w:r w:rsidR="002155CE">
        <w:t xml:space="preserve">disponibilizada a descrição </w:t>
      </w:r>
      <w:r w:rsidR="00825365">
        <w:t xml:space="preserve">detalhada </w:t>
      </w:r>
      <w:r w:rsidR="002155CE">
        <w:t>de cada item.</w:t>
      </w:r>
    </w:p>
    <w:p w14:paraId="7F08C333" w14:textId="12D64B3C" w:rsidR="005D7A74" w:rsidRDefault="005D7A74" w:rsidP="00782F9D">
      <w:pPr>
        <w:pStyle w:val="Ttulo2"/>
      </w:pPr>
      <w:bookmarkStart w:id="12" w:name="_Toc144213643"/>
      <w:r>
        <w:t>Diagnóstico e análise preliminar</w:t>
      </w:r>
      <w:bookmarkEnd w:id="12"/>
    </w:p>
    <w:p w14:paraId="48EF14A7" w14:textId="5F5D7D28" w:rsidR="00AD45AC" w:rsidRDefault="00AD223C" w:rsidP="00C529A8">
      <w:r>
        <w:t xml:space="preserve">O </w:t>
      </w:r>
      <w:r w:rsidRPr="006D5872">
        <w:rPr>
          <w:u w:val="single"/>
        </w:rPr>
        <w:t>combustível ou fonte fóssil</w:t>
      </w:r>
      <w:r>
        <w:t xml:space="preserve"> tradicionalmente usada nas operações industriais dev</w:t>
      </w:r>
      <w:r w:rsidR="008332A5">
        <w:t>e</w:t>
      </w:r>
      <w:r>
        <w:t xml:space="preserve"> ser indicado. Para isso, clique na célula F14 e, em seguida, clique na seta que aparece à direita para exibir a lista de combustíveis disponíveis. Após, clique no combustível usado em suas operações para </w:t>
      </w:r>
      <w:r w:rsidR="00811720">
        <w:t>incorporá-lo</w:t>
      </w:r>
      <w:r>
        <w:t xml:space="preserve"> </w:t>
      </w:r>
      <w:r w:rsidR="008332A5">
        <w:t xml:space="preserve">à simulação. Caso o combustível desejado não conste na lista, </w:t>
      </w:r>
      <w:r w:rsidR="00DE6D23">
        <w:t xml:space="preserve">selecione </w:t>
      </w:r>
      <w:r w:rsidR="00702368">
        <w:t>“O</w:t>
      </w:r>
      <w:r w:rsidR="00DE6D23">
        <w:t>utro</w:t>
      </w:r>
      <w:r w:rsidR="00702368">
        <w:t xml:space="preserve">” (ou o que tiver sido inserido na seção 2.3) </w:t>
      </w:r>
      <w:r w:rsidR="00DE6D23">
        <w:t xml:space="preserve">e </w:t>
      </w:r>
      <w:r w:rsidR="008332A5">
        <w:t>informe:</w:t>
      </w:r>
      <w:r w:rsidRPr="00AD223C">
        <w:t xml:space="preserve"> a unidade</w:t>
      </w:r>
      <w:r w:rsidR="005325CB">
        <w:t xml:space="preserve"> comercial</w:t>
      </w:r>
      <w:r w:rsidR="007221AA">
        <w:t>,</w:t>
      </w:r>
      <w:r w:rsidRPr="00AD223C">
        <w:t xml:space="preserve"> </w:t>
      </w:r>
      <w:r w:rsidR="008332A5">
        <w:t xml:space="preserve">em </w:t>
      </w:r>
      <m:oMath>
        <m:r>
          <m:rPr>
            <m:sty m:val="p"/>
          </m:rPr>
          <w:rPr>
            <w:rFonts w:ascii="Cambria Math" w:hAnsi="Cambria Math"/>
          </w:rPr>
          <m:t>m3</m:t>
        </m:r>
      </m:oMath>
      <w:r w:rsidRPr="00AD223C">
        <w:t xml:space="preserve"> ou </w:t>
      </w:r>
      <m:oMath>
        <m:r>
          <m:rPr>
            <m:sty m:val="p"/>
          </m:rPr>
          <w:rPr>
            <w:rFonts w:ascii="Cambria Math" w:hAnsi="Cambria Math"/>
          </w:rPr>
          <m:t>kg</m:t>
        </m:r>
      </m:oMath>
      <w:r w:rsidR="007221AA">
        <w:rPr>
          <w:rFonts w:eastAsiaTheme="minorEastAsia"/>
          <w:iCs/>
        </w:rPr>
        <w:t xml:space="preserve">, </w:t>
      </w:r>
      <w:r w:rsidR="005325CB">
        <w:rPr>
          <w:rFonts w:eastAsiaTheme="minorEastAsia"/>
          <w:iCs/>
        </w:rPr>
        <w:t xml:space="preserve">no </w:t>
      </w:r>
      <w:r w:rsidR="007221AA">
        <w:rPr>
          <w:rFonts w:eastAsiaTheme="minorEastAsia"/>
          <w:iCs/>
        </w:rPr>
        <w:lastRenderedPageBreak/>
        <w:t>consumo anual do combustível</w:t>
      </w:r>
      <w:r w:rsidR="008332A5">
        <w:t>;</w:t>
      </w:r>
      <w:r w:rsidRPr="00AD223C">
        <w:t xml:space="preserve"> o equivalente energético</w:t>
      </w:r>
      <w:r w:rsidR="0091530B">
        <w:t xml:space="preserve"> (</w:t>
      </w:r>
      <w:r w:rsidR="008332A5">
        <w:t>poder calorífico inferior</w:t>
      </w:r>
      <w:r w:rsidR="0091530B">
        <w:t>)</w:t>
      </w:r>
      <w:r w:rsidR="008332A5">
        <w:t>;</w:t>
      </w:r>
      <w:r w:rsidRPr="00AD223C">
        <w:t xml:space="preserve"> e o fator de emissão d</w:t>
      </w:r>
      <w:r w:rsidR="007221AA">
        <w:t>o</w:t>
      </w:r>
      <w:r w:rsidRPr="00AD223C">
        <w:t xml:space="preserve"> </w:t>
      </w:r>
      <w:r w:rsidR="007221AA">
        <w:t xml:space="preserve">combustível </w:t>
      </w:r>
      <w:r w:rsidR="0091530B">
        <w:t>usado na operação industrial</w:t>
      </w:r>
      <w:r w:rsidR="007221AA">
        <w:t>.</w:t>
      </w:r>
      <w:r w:rsidR="00DE6D23">
        <w:t xml:space="preserve"> Vale mencionar que ao inserir os dados do combustível manualmente, as funções automáticas para o equivalente energético e fator de emissão</w:t>
      </w:r>
      <w:r w:rsidR="00811720">
        <w:t xml:space="preserve">, que são recuperados a partir da </w:t>
      </w:r>
      <w:r w:rsidR="00890848">
        <w:t>página (2)</w:t>
      </w:r>
      <w:r w:rsidR="00811720">
        <w:t xml:space="preserve"> Premissas</w:t>
      </w:r>
      <w:r w:rsidR="00890848">
        <w:t>,</w:t>
      </w:r>
      <w:r w:rsidR="00811720">
        <w:t xml:space="preserve"> em </w:t>
      </w:r>
      <w:r w:rsidR="00702368">
        <w:t>2</w:t>
      </w:r>
      <w:r w:rsidR="00890848">
        <w:t xml:space="preserve">.3 </w:t>
      </w:r>
      <w:r w:rsidR="00702368">
        <w:t>L</w:t>
      </w:r>
      <w:r w:rsidR="00811720">
        <w:t>ist</w:t>
      </w:r>
      <w:r w:rsidR="00702368">
        <w:t>a</w:t>
      </w:r>
      <w:r w:rsidR="00811720">
        <w:t xml:space="preserve"> de combustíveis</w:t>
      </w:r>
      <w:r w:rsidR="00890848">
        <w:t>,</w:t>
      </w:r>
      <w:r w:rsidR="00DE6D23">
        <w:t xml:space="preserve"> se</w:t>
      </w:r>
      <w:r w:rsidR="00702368">
        <w:t>r</w:t>
      </w:r>
      <w:r w:rsidR="00DE6D23">
        <w:t>ão apagadas</w:t>
      </w:r>
      <w:r w:rsidR="00702368">
        <w:t>.</w:t>
      </w:r>
    </w:p>
    <w:bookmarkEnd w:id="3"/>
    <w:p w14:paraId="3486DCA4" w14:textId="78298FEE" w:rsidR="00C529A8" w:rsidRDefault="00C529A8" w:rsidP="00C529A8">
      <w:r>
        <w:t xml:space="preserve">O </w:t>
      </w:r>
      <w:r w:rsidRPr="006D5872">
        <w:rPr>
          <w:u w:val="single"/>
        </w:rPr>
        <w:t>consumo anual</w:t>
      </w:r>
      <w:r>
        <w:t xml:space="preserve"> de combustível é o total de combustível fóssil </w:t>
      </w:r>
      <w:r w:rsidRPr="00C529A8">
        <w:t xml:space="preserve">utilizado em um processo, </w:t>
      </w:r>
      <w:r>
        <w:t>que se objetiva descarbonizar, em um período de um ano. Recomenda-se atenção à unidade de medida.</w:t>
      </w:r>
    </w:p>
    <w:p w14:paraId="694DA23B" w14:textId="5E7D5252" w:rsidR="00C529A8" w:rsidRDefault="00C529A8" w:rsidP="00C529A8">
      <w:r>
        <w:t xml:space="preserve">O </w:t>
      </w:r>
      <w:r w:rsidRPr="006D5872">
        <w:rPr>
          <w:u w:val="single"/>
        </w:rPr>
        <w:t>equivalente energético</w:t>
      </w:r>
      <w:r>
        <w:t xml:space="preserve"> é o p</w:t>
      </w:r>
      <w:r w:rsidRPr="00C529A8">
        <w:t xml:space="preserve">oder calorífico </w:t>
      </w:r>
      <w:r>
        <w:t xml:space="preserve">inferior </w:t>
      </w:r>
      <w:r w:rsidRPr="00C529A8">
        <w:t xml:space="preserve">do combustível selecionado </w:t>
      </w:r>
      <w:r>
        <w:t xml:space="preserve">para realizar </w:t>
      </w:r>
      <w:r w:rsidRPr="00C529A8">
        <w:t>a simulação</w:t>
      </w:r>
      <w:r>
        <w:t>.</w:t>
      </w:r>
    </w:p>
    <w:bookmarkEnd w:id="11"/>
    <w:p w14:paraId="11F23077" w14:textId="5E766BE9" w:rsidR="00C529A8" w:rsidRDefault="00C529A8" w:rsidP="00C529A8">
      <w:pPr>
        <w:rPr>
          <w:rFonts w:eastAsiaTheme="minorEastAsia"/>
          <w:iCs/>
        </w:rPr>
      </w:pPr>
      <w:r>
        <w:t xml:space="preserve">O </w:t>
      </w:r>
      <w:r w:rsidRPr="006D5872">
        <w:rPr>
          <w:u w:val="single"/>
        </w:rPr>
        <w:t>fator de emissão</w:t>
      </w:r>
      <w:r>
        <w:rPr>
          <w:b/>
          <w:bCs/>
        </w:rPr>
        <w:t xml:space="preserve"> </w:t>
      </w:r>
      <w:r>
        <w:t>do combustível é a</w:t>
      </w:r>
      <w:r w:rsidR="00DB4F17">
        <w:t xml:space="preserve"> massa emitida de dióxido de carbono equivalente para cada unidade de energia. A unidade adotada</w:t>
      </w:r>
      <w:r w:rsidR="00707A3B">
        <w:t xml:space="preserve"> </w:t>
      </w:r>
      <w:r w:rsidR="00DB4F17">
        <w:t xml:space="preserve">é tonelada de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DB4F17">
        <w:rPr>
          <w:rFonts w:eastAsiaTheme="minorEastAsia"/>
          <w:iCs/>
        </w:rPr>
        <w:t>equivalente por terajoule.</w:t>
      </w:r>
    </w:p>
    <w:p w14:paraId="32239629" w14:textId="0031868F" w:rsidR="00DB4F17" w:rsidRDefault="00DB4F17" w:rsidP="00C529A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O </w:t>
      </w:r>
      <w:r w:rsidRPr="006D5872">
        <w:rPr>
          <w:rFonts w:eastAsiaTheme="minorEastAsia"/>
          <w:iCs/>
          <w:u w:val="single"/>
        </w:rPr>
        <w:t>consumo de energia</w:t>
      </w:r>
      <w:r>
        <w:rPr>
          <w:rFonts w:eastAsiaTheme="minorEastAsia"/>
          <w:iCs/>
        </w:rPr>
        <w:t xml:space="preserve"> associado ao uso do combustível selecionado é a </w:t>
      </w:r>
      <w:r w:rsidRPr="00DB4F17">
        <w:rPr>
          <w:rFonts w:eastAsiaTheme="minorEastAsia"/>
          <w:iCs/>
        </w:rPr>
        <w:t>energia consumida</w:t>
      </w:r>
      <w:r>
        <w:rPr>
          <w:rFonts w:eastAsiaTheme="minorEastAsia"/>
          <w:iCs/>
        </w:rPr>
        <w:t xml:space="preserve"> pelo processo considerado em um ano. A unidade adotada é terajoule por ano.</w:t>
      </w:r>
    </w:p>
    <w:p w14:paraId="38983601" w14:textId="75200288" w:rsidR="00DB4F17" w:rsidRDefault="00DB4F17" w:rsidP="00C529A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As </w:t>
      </w:r>
      <w:r w:rsidRPr="006D5872">
        <w:rPr>
          <w:rFonts w:eastAsiaTheme="minorEastAsia"/>
          <w:iCs/>
          <w:u w:val="single"/>
        </w:rPr>
        <w:t xml:space="preserve">emissões de 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>C</m:t>
        </m:r>
        <m:sSub>
          <m:sSubPr>
            <m:ctrlPr>
              <w:rPr>
                <w:rFonts w:ascii="Cambria Math" w:eastAsiaTheme="minorEastAsia" w:hAnsi="Cambria Math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2</m:t>
            </m:r>
          </m:sub>
        </m:sSub>
      </m:oMath>
      <w:r w:rsidRPr="006D5872">
        <w:rPr>
          <w:rFonts w:eastAsiaTheme="minorEastAsia"/>
          <w:iCs/>
          <w:u w:val="single"/>
        </w:rPr>
        <w:t xml:space="preserve"> associadas</w:t>
      </w:r>
      <w:r>
        <w:rPr>
          <w:rFonts w:eastAsiaTheme="minorEastAsia"/>
          <w:iCs/>
        </w:rPr>
        <w:t xml:space="preserve"> ao uso do combustível </w:t>
      </w:r>
      <w:r w:rsidR="00707A3B">
        <w:rPr>
          <w:rFonts w:eastAsiaTheme="minorEastAsia"/>
          <w:iCs/>
        </w:rPr>
        <w:t xml:space="preserve">é a massa de </w:t>
      </w:r>
      <m:oMath>
        <m:r>
          <m:rPr>
            <m:sty m:val="p"/>
          </m:rPr>
          <w:rPr>
            <w:rFonts w:ascii="Cambria Math" w:eastAsiaTheme="minorEastAsia" w:hAnsi="Cambria Math"/>
          </w:rPr>
          <m:t>C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="00707A3B" w:rsidRPr="00707A3B">
        <w:rPr>
          <w:rFonts w:eastAsiaTheme="minorEastAsia"/>
          <w:iCs/>
        </w:rPr>
        <w:t xml:space="preserve"> </w:t>
      </w:r>
      <w:r w:rsidR="00707A3B">
        <w:rPr>
          <w:rFonts w:eastAsiaTheme="minorEastAsia"/>
          <w:iCs/>
        </w:rPr>
        <w:t>equivalente emit</w:t>
      </w:r>
      <w:r w:rsidR="001D5A17">
        <w:rPr>
          <w:rFonts w:eastAsiaTheme="minorEastAsia"/>
          <w:iCs/>
        </w:rPr>
        <w:t>ida</w:t>
      </w:r>
      <w:r w:rsidR="00707A3B">
        <w:rPr>
          <w:rFonts w:eastAsiaTheme="minorEastAsia"/>
          <w:iCs/>
        </w:rPr>
        <w:t xml:space="preserve"> por ano</w:t>
      </w:r>
      <w:r w:rsidR="001D5A17">
        <w:rPr>
          <w:rFonts w:eastAsiaTheme="minorEastAsia"/>
          <w:iCs/>
        </w:rPr>
        <w:t xml:space="preserve"> pelo processo</w:t>
      </w:r>
      <w:r w:rsidR="00707A3B">
        <w:rPr>
          <w:rFonts w:eastAsiaTheme="minorEastAsia"/>
          <w:iCs/>
        </w:rPr>
        <w:t xml:space="preserve">. </w:t>
      </w:r>
      <w:r w:rsidR="00707A3B">
        <w:t xml:space="preserve">A unidade adotada é tonelada de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07A3B">
        <w:rPr>
          <w:rFonts w:eastAsiaTheme="minorEastAsia"/>
          <w:iCs/>
        </w:rPr>
        <w:t>equivalente por ano.</w:t>
      </w:r>
    </w:p>
    <w:p w14:paraId="6D7ECE6C" w14:textId="79E50410" w:rsidR="001D5A17" w:rsidRDefault="001D5A17" w:rsidP="00C529A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 </w:t>
      </w:r>
      <w:r w:rsidRPr="006D5872">
        <w:rPr>
          <w:rFonts w:eastAsiaTheme="minorEastAsia"/>
          <w:iCs/>
          <w:u w:val="single"/>
        </w:rPr>
        <w:t>substituição desejada da fonte fóssil</w:t>
      </w:r>
      <w:r>
        <w:rPr>
          <w:rFonts w:eastAsiaTheme="minorEastAsia"/>
          <w:iCs/>
        </w:rPr>
        <w:t xml:space="preserve"> é a porcentagem de energia fóssil que se almeja substituir pela energia do hidrogênio verde</w:t>
      </w:r>
      <w:r w:rsidR="008C7469">
        <w:rPr>
          <w:rFonts w:eastAsiaTheme="minorEastAsia"/>
          <w:iCs/>
        </w:rPr>
        <w:t xml:space="preserve"> em um processo.</w:t>
      </w:r>
    </w:p>
    <w:p w14:paraId="7DC9FA68" w14:textId="6AA8756A" w:rsidR="008C7469" w:rsidRDefault="008C7469" w:rsidP="00C529A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 </w:t>
      </w:r>
      <w:r w:rsidRPr="006D5872">
        <w:rPr>
          <w:rFonts w:eastAsiaTheme="minorEastAsia"/>
          <w:iCs/>
          <w:u w:val="single"/>
        </w:rPr>
        <w:t>substituição reduzirá o consumo</w:t>
      </w:r>
      <w:r w:rsidRPr="008C7469">
        <w:rPr>
          <w:rFonts w:eastAsiaTheme="minorEastAsia"/>
          <w:b/>
          <w:bCs/>
          <w:iCs/>
        </w:rPr>
        <w:t xml:space="preserve"> </w:t>
      </w:r>
      <w:r w:rsidRPr="008C7469">
        <w:rPr>
          <w:rFonts w:eastAsiaTheme="minorEastAsia"/>
          <w:iCs/>
        </w:rPr>
        <w:t>de</w:t>
      </w:r>
      <w:r w:rsidRPr="008C7469">
        <w:rPr>
          <w:rFonts w:eastAsiaTheme="minorEastAsia"/>
          <w:b/>
          <w:bCs/>
          <w:iCs/>
        </w:rPr>
        <w:t xml:space="preserve"> </w:t>
      </w:r>
      <w:r w:rsidRPr="008C7469">
        <w:rPr>
          <w:rFonts w:eastAsiaTheme="minorEastAsia"/>
          <w:iCs/>
        </w:rPr>
        <w:t>combustível</w:t>
      </w:r>
      <w:r>
        <w:rPr>
          <w:rFonts w:eastAsiaTheme="minorEastAsia"/>
          <w:iCs/>
        </w:rPr>
        <w:t xml:space="preserve"> fóssil em energia por ano. Esse é o r</w:t>
      </w:r>
      <w:r w:rsidRPr="008C7469">
        <w:rPr>
          <w:rFonts w:eastAsiaTheme="minorEastAsia"/>
          <w:iCs/>
        </w:rPr>
        <w:t xml:space="preserve">esultado </w:t>
      </w:r>
      <w:r>
        <w:rPr>
          <w:rFonts w:eastAsiaTheme="minorEastAsia"/>
          <w:iCs/>
        </w:rPr>
        <w:t>referente à quantidade de energia</w:t>
      </w:r>
      <w:r w:rsidRPr="008C746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fóssil que será</w:t>
      </w:r>
      <w:r w:rsidRPr="008C7469">
        <w:rPr>
          <w:rFonts w:eastAsiaTheme="minorEastAsia"/>
          <w:iCs/>
        </w:rPr>
        <w:t xml:space="preserve"> substituída pelo uso de </w:t>
      </w:r>
      <w:r>
        <w:rPr>
          <w:rFonts w:eastAsiaTheme="minorEastAsia"/>
          <w:iCs/>
        </w:rPr>
        <w:t>hidrogênio verde.</w:t>
      </w:r>
      <w:r w:rsidR="006A69CB">
        <w:rPr>
          <w:rFonts w:eastAsiaTheme="minorEastAsia"/>
          <w:iCs/>
        </w:rPr>
        <w:t xml:space="preserve"> Para fins de exemplificação, a simulação considera que para cada 1 TJ da fonte (ex: gás natural) que pretende se substituir, serão necessários 1TJ de H</w:t>
      </w:r>
      <w:r w:rsidR="006A69CB">
        <w:rPr>
          <w:rFonts w:eastAsiaTheme="minorEastAsia"/>
          <w:iCs/>
          <w:vertAlign w:val="subscript"/>
        </w:rPr>
        <w:t>2</w:t>
      </w:r>
      <w:r w:rsidR="006A69CB">
        <w:rPr>
          <w:rFonts w:eastAsiaTheme="minorEastAsia"/>
          <w:iCs/>
        </w:rPr>
        <w:t xml:space="preserve">, implicando uma hipótese de paridade energética. </w:t>
      </w:r>
    </w:p>
    <w:p w14:paraId="6E62FE2C" w14:textId="77777777" w:rsidR="00A5402D" w:rsidRDefault="008C7469" w:rsidP="00A5402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 </w:t>
      </w:r>
      <w:r w:rsidRPr="006D5872">
        <w:rPr>
          <w:rFonts w:eastAsiaTheme="minorEastAsia"/>
          <w:iCs/>
          <w:u w:val="single"/>
        </w:rPr>
        <w:t>emiss</w:t>
      </w:r>
      <w:r w:rsidR="00870FF5" w:rsidRPr="006D5872">
        <w:rPr>
          <w:rFonts w:eastAsiaTheme="minorEastAsia"/>
          <w:iCs/>
          <w:u w:val="single"/>
        </w:rPr>
        <w:t>ão</w:t>
      </w:r>
      <w:r w:rsidRPr="006D5872">
        <w:rPr>
          <w:rFonts w:eastAsiaTheme="minorEastAsia"/>
          <w:iCs/>
          <w:u w:val="single"/>
        </w:rPr>
        <w:t xml:space="preserve"> evitada</w:t>
      </w:r>
      <w:r>
        <w:rPr>
          <w:rFonts w:eastAsiaTheme="minorEastAsia"/>
          <w:iCs/>
        </w:rPr>
        <w:t xml:space="preserve"> é </w:t>
      </w:r>
      <w:r w:rsidR="00870FF5">
        <w:rPr>
          <w:rFonts w:eastAsiaTheme="minorEastAsia"/>
          <w:iCs/>
        </w:rPr>
        <w:t xml:space="preserve">a massa de </w:t>
      </w:r>
      <m:oMath>
        <m:r>
          <m:rPr>
            <m:sty m:val="p"/>
          </m:rPr>
          <w:rPr>
            <w:rFonts w:ascii="Cambria Math" w:eastAsiaTheme="minorEastAsia" w:hAnsi="Cambria Math"/>
          </w:rPr>
          <m:t>C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="00870FF5">
        <w:rPr>
          <w:rFonts w:eastAsiaTheme="minorEastAsia"/>
        </w:rPr>
        <w:t xml:space="preserve"> equivalente que deixa de ser emitida devido à </w:t>
      </w:r>
      <w:r w:rsidRPr="008C7469">
        <w:rPr>
          <w:rFonts w:eastAsiaTheme="minorEastAsia"/>
          <w:iCs/>
        </w:rPr>
        <w:t>redução d</w:t>
      </w:r>
      <w:r w:rsidR="00870FF5">
        <w:rPr>
          <w:rFonts w:eastAsiaTheme="minorEastAsia"/>
          <w:iCs/>
        </w:rPr>
        <w:t>o consumo d</w:t>
      </w:r>
      <w:r w:rsidRPr="008C7469">
        <w:rPr>
          <w:rFonts w:eastAsiaTheme="minorEastAsia"/>
          <w:iCs/>
        </w:rPr>
        <w:t xml:space="preserve">e </w:t>
      </w:r>
      <w:r w:rsidR="00870FF5">
        <w:rPr>
          <w:rFonts w:eastAsiaTheme="minorEastAsia"/>
          <w:iCs/>
        </w:rPr>
        <w:t>energia da fonte fóssil</w:t>
      </w:r>
      <w:r w:rsidR="00A5402D">
        <w:rPr>
          <w:rFonts w:eastAsiaTheme="minorEastAsia"/>
          <w:iCs/>
        </w:rPr>
        <w:t xml:space="preserve"> em detrimento do uso de hidrogênio verde</w:t>
      </w:r>
      <w:r w:rsidR="00870FF5">
        <w:rPr>
          <w:rFonts w:eastAsiaTheme="minorEastAsia"/>
          <w:iCs/>
        </w:rPr>
        <w:t xml:space="preserve">. </w:t>
      </w:r>
      <w:r w:rsidR="00A5402D">
        <w:t xml:space="preserve">A unidade adotada é tonelada de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A5402D">
        <w:rPr>
          <w:rFonts w:eastAsiaTheme="minorEastAsia"/>
          <w:iCs/>
        </w:rPr>
        <w:t>equivalente por ano.</w:t>
      </w:r>
    </w:p>
    <w:p w14:paraId="195FAB6F" w14:textId="5BAD5087" w:rsidR="00A5402D" w:rsidRDefault="00A5402D" w:rsidP="00A5402D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O </w:t>
      </w:r>
      <w:r w:rsidRPr="006D5872">
        <w:rPr>
          <w:rFonts w:eastAsiaTheme="minorEastAsia"/>
          <w:iCs/>
          <w:u w:val="single"/>
        </w:rPr>
        <w:t>uso de hidrogênio (</w:t>
      </w:r>
      <m:oMath>
        <m:sSub>
          <m:sSubPr>
            <m:ctrlPr>
              <w:rPr>
                <w:rFonts w:ascii="Cambria Math" w:eastAsiaTheme="minorEastAsia" w:hAnsi="Cambria Math"/>
                <w:iCs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2</m:t>
            </m:r>
          </m:sub>
        </m:sSub>
      </m:oMath>
      <w:r w:rsidRPr="006D5872">
        <w:rPr>
          <w:rFonts w:eastAsiaTheme="minorEastAsia"/>
          <w:iCs/>
          <w:u w:val="single"/>
        </w:rPr>
        <w:t>) sustentável</w:t>
      </w:r>
      <w:r>
        <w:rPr>
          <w:rFonts w:eastAsiaTheme="minorEastAsia"/>
          <w:iCs/>
        </w:rPr>
        <w:t xml:space="preserve"> </w:t>
      </w:r>
      <w:r w:rsidR="007D0B81">
        <w:rPr>
          <w:rFonts w:eastAsiaTheme="minorEastAsia"/>
          <w:iCs/>
        </w:rPr>
        <w:t xml:space="preserve">é a massa de hidrogênio que contem a fração de energia especificada na linha de </w:t>
      </w:r>
      <w:r w:rsidR="007D0B81" w:rsidRPr="006D5872">
        <w:rPr>
          <w:rFonts w:eastAsiaTheme="minorEastAsia"/>
          <w:iCs/>
          <w:u w:val="single"/>
        </w:rPr>
        <w:t>substituição desejada da fonte fóssil</w:t>
      </w:r>
      <w:r w:rsidR="007D0B81">
        <w:rPr>
          <w:rFonts w:eastAsiaTheme="minorEastAsia"/>
          <w:b/>
          <w:bCs/>
          <w:iCs/>
        </w:rPr>
        <w:t xml:space="preserve"> </w:t>
      </w:r>
      <w:r w:rsidR="007D0B81">
        <w:rPr>
          <w:rFonts w:eastAsiaTheme="minorEastAsia"/>
          <w:iCs/>
        </w:rPr>
        <w:t>para o período de um ano</w:t>
      </w:r>
      <w:r w:rsidR="007D0B81">
        <w:rPr>
          <w:rFonts w:eastAsiaTheme="minorEastAsia"/>
          <w:b/>
          <w:bCs/>
          <w:iCs/>
        </w:rPr>
        <w:t xml:space="preserve">. </w:t>
      </w:r>
      <w:r w:rsidR="007D0B81">
        <w:rPr>
          <w:rFonts w:eastAsiaTheme="minorEastAsia"/>
          <w:iCs/>
        </w:rPr>
        <w:t xml:space="preserve">A unidade adotada é tonelada </w:t>
      </w:r>
      <w:r w:rsidR="007D0B81" w:rsidRPr="007D0B81">
        <w:rPr>
          <w:rFonts w:eastAsiaTheme="minorEastAsia"/>
          <w:iCs/>
        </w:rPr>
        <w:t xml:space="preserve">de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="007D0B81">
        <w:rPr>
          <w:rFonts w:eastAsiaTheme="minorEastAsia"/>
          <w:iCs/>
        </w:rPr>
        <w:t xml:space="preserve"> por ano.</w:t>
      </w:r>
    </w:p>
    <w:p w14:paraId="73724E4A" w14:textId="439AF49E" w:rsidR="001E2F72" w:rsidRDefault="00837020" w:rsidP="00A5402D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 </w:t>
      </w:r>
      <w:r w:rsidRPr="006D5872">
        <w:rPr>
          <w:rFonts w:eastAsiaTheme="minorEastAsia"/>
          <w:iCs/>
          <w:u w:val="single"/>
        </w:rPr>
        <w:t>capacidade de eletrólise sugerida para atender a substituição</w:t>
      </w:r>
      <w:r>
        <w:rPr>
          <w:rFonts w:eastAsiaTheme="minorEastAsia"/>
          <w:iCs/>
        </w:rPr>
        <w:t xml:space="preserve"> é a</w:t>
      </w:r>
      <w:r w:rsidR="001E2F72">
        <w:rPr>
          <w:rFonts w:eastAsiaTheme="minorEastAsia"/>
          <w:iCs/>
        </w:rPr>
        <w:t xml:space="preserve"> potência instalada de eletrólise </w:t>
      </w:r>
      <w:r w:rsidR="00D627F8">
        <w:rPr>
          <w:rFonts w:eastAsiaTheme="minorEastAsia"/>
          <w:iCs/>
        </w:rPr>
        <w:t xml:space="preserve">para </w:t>
      </w:r>
      <w:r w:rsidR="001E2F72">
        <w:rPr>
          <w:rFonts w:eastAsiaTheme="minorEastAsia"/>
          <w:iCs/>
        </w:rPr>
        <w:t>que o hidrogênio seja gerado de acordo com o esperado para viabilizar o percentual de substituição energétic</w:t>
      </w:r>
      <w:r w:rsidR="006D5872">
        <w:rPr>
          <w:rFonts w:eastAsiaTheme="minorEastAsia"/>
          <w:iCs/>
        </w:rPr>
        <w:t>o</w:t>
      </w:r>
      <w:r w:rsidR="001E2F72">
        <w:rPr>
          <w:rFonts w:eastAsiaTheme="minorEastAsia"/>
          <w:iCs/>
        </w:rPr>
        <w:t xml:space="preserve"> desejado. Nessa sugestão, foi usada a hipótese</w:t>
      </w:r>
      <w:r w:rsidR="00F5721D">
        <w:rPr>
          <w:rFonts w:eastAsiaTheme="minorEastAsia"/>
          <w:iCs/>
        </w:rPr>
        <w:t xml:space="preserve"> do </w:t>
      </w:r>
      <w:r w:rsidR="001E2F72" w:rsidRPr="001E2F72">
        <w:rPr>
          <w:rFonts w:eastAsiaTheme="minorEastAsia"/>
          <w:iCs/>
        </w:rPr>
        <w:t xml:space="preserve">uso de 100% da capacidade de um eletrolisador com </w:t>
      </w:r>
      <w:r w:rsidR="006A69CB">
        <w:rPr>
          <w:rFonts w:eastAsiaTheme="minorEastAsia"/>
          <w:iCs/>
        </w:rPr>
        <w:t>um consumo específico</w:t>
      </w:r>
      <w:r w:rsidR="001E2F72" w:rsidRPr="001E2F72">
        <w:rPr>
          <w:rFonts w:eastAsiaTheme="minorEastAsia"/>
          <w:iCs/>
        </w:rPr>
        <w:t xml:space="preserve"> de 62 kWh</w:t>
      </w:r>
      <w:r w:rsidR="001E2F72">
        <w:rPr>
          <w:rFonts w:eastAsiaTheme="minorEastAsia"/>
          <w:iCs/>
        </w:rPr>
        <w:t xml:space="preserve"> de energia elétrica por quilograma de </w:t>
      </w:r>
      <w:r w:rsidR="006A69CB" w:rsidRPr="006A69CB">
        <w:rPr>
          <w:rFonts w:eastAsiaTheme="minorEastAsia"/>
          <w:iCs/>
        </w:rPr>
        <w:t>H</w:t>
      </w:r>
      <w:r w:rsidR="006A69CB" w:rsidRPr="006A69CB">
        <w:rPr>
          <w:rFonts w:eastAsiaTheme="minorEastAsia"/>
          <w:iCs/>
          <w:vertAlign w:val="subscript"/>
        </w:rPr>
        <w:t>2</w:t>
      </w:r>
      <w:r w:rsidR="006A69CB">
        <w:rPr>
          <w:rFonts w:eastAsiaTheme="minorEastAsia"/>
          <w:iCs/>
        </w:rPr>
        <w:t xml:space="preserve"> produzido</w:t>
      </w:r>
      <w:r w:rsidR="001E2F72">
        <w:rPr>
          <w:rFonts w:eastAsiaTheme="minorEastAsia"/>
          <w:iCs/>
        </w:rPr>
        <w:t>.</w:t>
      </w:r>
    </w:p>
    <w:p w14:paraId="16D4BD15" w14:textId="344F3F1D" w:rsidR="00A52BDC" w:rsidRDefault="00C474FF" w:rsidP="00782F9D">
      <w:pPr>
        <w:pStyle w:val="Ttulo2"/>
        <w:rPr>
          <w:rFonts w:eastAsiaTheme="minorEastAsia"/>
        </w:rPr>
      </w:pPr>
      <w:bookmarkStart w:id="13" w:name="_Toc144213644"/>
      <w:r>
        <w:rPr>
          <w:rFonts w:eastAsiaTheme="minorEastAsia"/>
        </w:rPr>
        <w:t>Preços e custos de insumos</w:t>
      </w:r>
      <w:bookmarkEnd w:id="13"/>
    </w:p>
    <w:p w14:paraId="49B3627F" w14:textId="28CD3B6A" w:rsidR="00DE6D23" w:rsidRDefault="00C474FF" w:rsidP="00C474FF">
      <w:r>
        <w:t xml:space="preserve">A </w:t>
      </w:r>
      <w:r w:rsidRPr="006D5872">
        <w:rPr>
          <w:u w:val="single"/>
        </w:rPr>
        <w:t>moeda</w:t>
      </w:r>
      <w:r>
        <w:t xml:space="preserve"> deve ser indicada, de forma escrita, para seguir as entradas de preços e custos de insumos. De modo geral, a moeda é referenciada somente nos textos ao longo da simulação. É fortemente recomendado padronizar uma moeda ao inserir os preços e custos de insumos.</w:t>
      </w:r>
    </w:p>
    <w:p w14:paraId="4A728F06" w14:textId="47ACA209" w:rsidR="00C474FF" w:rsidRDefault="00C474FF" w:rsidP="00C474FF">
      <w:r>
        <w:t xml:space="preserve">O </w:t>
      </w:r>
      <w:r w:rsidR="007D33A3" w:rsidRPr="006D5872">
        <w:rPr>
          <w:u w:val="single"/>
        </w:rPr>
        <w:t>custo do combustível</w:t>
      </w:r>
      <w:r w:rsidR="007D33A3">
        <w:t xml:space="preserve"> é o c</w:t>
      </w:r>
      <w:r w:rsidR="007D33A3" w:rsidRPr="007D33A3">
        <w:t>usto da fonte fóssil atualmente utilizada</w:t>
      </w:r>
      <w:r w:rsidR="007D33A3">
        <w:t>. Esse, por sua vez, é</w:t>
      </w:r>
      <w:r w:rsidR="007D33A3" w:rsidRPr="007D33A3">
        <w:t xml:space="preserve"> relacionado ao ganho virtual de receita</w:t>
      </w:r>
      <w:r w:rsidR="007D33A3">
        <w:t xml:space="preserve"> </w:t>
      </w:r>
      <w:r w:rsidR="007D33A3" w:rsidRPr="007D33A3">
        <w:t>devido ao uso d</w:t>
      </w:r>
      <w:r w:rsidR="007D33A3">
        <w:t>e hidrogênio verde</w:t>
      </w:r>
      <w:r w:rsidR="007D33A3" w:rsidRPr="007D33A3">
        <w:t xml:space="preserve"> como substituto da fonte fóssil</w:t>
      </w:r>
      <w:r w:rsidR="007D33A3">
        <w:t>.</w:t>
      </w:r>
    </w:p>
    <w:p w14:paraId="52A1BEC0" w14:textId="7AB08A5E" w:rsidR="00E7358B" w:rsidRDefault="00E7358B" w:rsidP="00C474FF">
      <w:pPr>
        <w:rPr>
          <w:rFonts w:eastAsiaTheme="minorEastAsia"/>
        </w:rPr>
      </w:pPr>
      <w:r>
        <w:t xml:space="preserve">O </w:t>
      </w:r>
      <w:r w:rsidRPr="006D5872">
        <w:rPr>
          <w:u w:val="single"/>
        </w:rPr>
        <w:t>custo da água consumida pelo eletrolisador</w:t>
      </w:r>
      <w:r>
        <w:rPr>
          <w:b/>
          <w:bCs/>
        </w:rPr>
        <w:t xml:space="preserve"> </w:t>
      </w:r>
      <w:r>
        <w:t>é o custo</w:t>
      </w:r>
      <w:r w:rsidR="00704E60">
        <w:t xml:space="preserve"> final da água pronta para uso no eletrolisador. Vale mencionar que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704E60">
        <w:t xml:space="preserve"> é insumo essencial</w:t>
      </w:r>
      <w:r w:rsidRPr="00E7358B">
        <w:t xml:space="preserve"> </w:t>
      </w:r>
      <w:r w:rsidR="00704E60">
        <w:t>p</w:t>
      </w:r>
      <w:r w:rsidRPr="00E7358B">
        <w:t xml:space="preserve">ara o eletrolisador produzir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750D1B6C" w14:textId="475D294E" w:rsidR="00FD1A84" w:rsidRPr="00A46DFF" w:rsidRDefault="00616C50" w:rsidP="00FD1A84">
      <w:pPr>
        <w:rPr>
          <w:lang w:eastAsia="pt-BR"/>
        </w:rPr>
      </w:pPr>
      <w:r>
        <w:rPr>
          <w:rFonts w:eastAsiaTheme="minorEastAsia"/>
        </w:rPr>
        <w:t xml:space="preserve">O </w:t>
      </w:r>
      <w:r w:rsidRPr="006D5872">
        <w:rPr>
          <w:rFonts w:eastAsiaTheme="minorEastAsia"/>
          <w:u w:val="single"/>
        </w:rPr>
        <w:t xml:space="preserve">preço de oportunidade para o </w:t>
      </w:r>
      <m:oMath>
        <m:sSub>
          <m:sSubPr>
            <m:ctrlPr>
              <w:rPr>
                <w:rFonts w:ascii="Cambria Math" w:eastAsiaTheme="minorEastAsia" w:hAnsi="Cambria Math"/>
                <w:iCs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u w:val="single"/>
              </w:rPr>
              <m:t>2</m:t>
            </m:r>
          </m:sub>
        </m:sSub>
      </m:oMath>
      <w:r w:rsidR="00FD1A84">
        <w:rPr>
          <w:rFonts w:eastAsiaTheme="minorEastAsia"/>
          <w:iCs/>
        </w:rPr>
        <w:t xml:space="preserve"> é o </w:t>
      </w:r>
      <w:r w:rsidR="00FD1A84" w:rsidRPr="00FD1A84">
        <w:rPr>
          <w:lang w:eastAsia="pt-BR"/>
        </w:rPr>
        <w:t>ganho de receita</w:t>
      </w:r>
      <w:r w:rsidR="00FD1A84">
        <w:rPr>
          <w:lang w:eastAsia="pt-BR"/>
        </w:rPr>
        <w:t xml:space="preserve"> promovido pela inserção do oxigênio no fluxo de caixa, seja </w:t>
      </w:r>
      <w:r w:rsidR="00FD1A84" w:rsidRPr="00FD1A84">
        <w:rPr>
          <w:lang w:eastAsia="pt-BR"/>
        </w:rPr>
        <w:t>por meios comerciais ou</w:t>
      </w:r>
      <w:r w:rsidR="00FD1A84">
        <w:rPr>
          <w:lang w:eastAsia="pt-BR"/>
        </w:rPr>
        <w:t xml:space="preserve"> por</w:t>
      </w:r>
      <w:r w:rsidR="00FD1A84" w:rsidRPr="00FD1A84">
        <w:rPr>
          <w:lang w:eastAsia="pt-BR"/>
        </w:rPr>
        <w:t xml:space="preserve"> outras oportunidades consideradas pelo projetista</w:t>
      </w:r>
      <w:r w:rsidR="00FD1A84">
        <w:rPr>
          <w:lang w:eastAsia="pt-BR"/>
        </w:rPr>
        <w:t xml:space="preserve">. Como outras oportunidades para uso interno do oxigênio, vale mencionar: a </w:t>
      </w:r>
      <w:r w:rsidR="00FD1A84" w:rsidRPr="00FD1A84">
        <w:rPr>
          <w:lang w:eastAsia="pt-BR"/>
        </w:rPr>
        <w:t xml:space="preserve">redução de compra de matéria-prima, </w:t>
      </w:r>
      <w:r w:rsidR="00FD1A84">
        <w:rPr>
          <w:lang w:eastAsia="pt-BR"/>
        </w:rPr>
        <w:t xml:space="preserve">caso haja algum processo produtivo que faça uso desse gás; e a </w:t>
      </w:r>
      <w:r w:rsidR="00FD1A84" w:rsidRPr="00FD1A84">
        <w:rPr>
          <w:lang w:eastAsia="pt-BR"/>
        </w:rPr>
        <w:t xml:space="preserve">redução de consumo de combustível </w:t>
      </w:r>
      <w:r w:rsidR="00FD1A84">
        <w:rPr>
          <w:lang w:eastAsia="pt-BR"/>
        </w:rPr>
        <w:t xml:space="preserve">devido </w:t>
      </w:r>
      <w:r w:rsidR="00FD1A84" w:rsidRPr="00FD1A84">
        <w:rPr>
          <w:lang w:eastAsia="pt-BR"/>
        </w:rPr>
        <w:t>à queima com atmosfera enriquecida</w:t>
      </w:r>
      <w:r w:rsidR="00FD1A84">
        <w:rPr>
          <w:lang w:eastAsia="pt-BR"/>
        </w:rPr>
        <w:t xml:space="preserve"> em oxigênio</w:t>
      </w:r>
      <w:r w:rsidR="00C04907">
        <w:rPr>
          <w:lang w:eastAsia="pt-BR"/>
        </w:rPr>
        <w:t>.</w:t>
      </w:r>
      <w:r w:rsidR="00A46DFF">
        <w:rPr>
          <w:lang w:eastAsia="pt-BR"/>
        </w:rPr>
        <w:t xml:space="preserve"> Este valor deve ser mensurado pelo próprio usuário. Um exemplo simples seria a capacidade do usuário de vender o O</w:t>
      </w:r>
      <w:r w:rsidR="00A46DFF">
        <w:rPr>
          <w:vertAlign w:val="subscript"/>
          <w:lang w:eastAsia="pt-BR"/>
        </w:rPr>
        <w:t>2</w:t>
      </w:r>
      <w:r w:rsidR="00A46DFF">
        <w:rPr>
          <w:lang w:eastAsia="pt-BR"/>
        </w:rPr>
        <w:t xml:space="preserve"> a um terceiro, e assim atribuir um preço conforme negociado entre as partes. Um exemplo conservador seria que não há uso para o O</w:t>
      </w:r>
      <w:r w:rsidR="00A46DFF">
        <w:rPr>
          <w:vertAlign w:val="subscript"/>
          <w:lang w:eastAsia="pt-BR"/>
        </w:rPr>
        <w:t>2</w:t>
      </w:r>
      <w:r w:rsidR="00A46DFF">
        <w:rPr>
          <w:lang w:eastAsia="pt-BR"/>
        </w:rPr>
        <w:t>, logo ele será desperdiçado no projeto; portanto, seu preço de oportunidade seria nulo (inserir zero no campo de entrada).</w:t>
      </w:r>
    </w:p>
    <w:p w14:paraId="40C362B8" w14:textId="47313B23" w:rsidR="00C04907" w:rsidRDefault="00C04907" w:rsidP="00FD1A84">
      <w:pPr>
        <w:rPr>
          <w:lang w:eastAsia="pt-BR"/>
        </w:rPr>
      </w:pPr>
      <w:r>
        <w:rPr>
          <w:lang w:eastAsia="pt-BR"/>
        </w:rPr>
        <w:lastRenderedPageBreak/>
        <w:t xml:space="preserve">O </w:t>
      </w:r>
      <w:r w:rsidRPr="006D5872">
        <w:rPr>
          <w:u w:val="single"/>
          <w:lang w:eastAsia="pt-BR"/>
        </w:rPr>
        <w:t>custo da energia elétrica</w:t>
      </w:r>
      <w:r>
        <w:rPr>
          <w:lang w:eastAsia="pt-BR"/>
        </w:rPr>
        <w:t xml:space="preserve"> é o c</w:t>
      </w:r>
      <w:r w:rsidRPr="00C04907">
        <w:rPr>
          <w:lang w:eastAsia="pt-BR"/>
        </w:rPr>
        <w:t xml:space="preserve">usto </w:t>
      </w:r>
      <w:r>
        <w:rPr>
          <w:lang w:eastAsia="pt-BR"/>
        </w:rPr>
        <w:t>referente</w:t>
      </w:r>
      <w:r w:rsidRPr="00C04907">
        <w:rPr>
          <w:lang w:eastAsia="pt-BR"/>
        </w:rPr>
        <w:t xml:space="preserve"> </w:t>
      </w:r>
      <w:r>
        <w:rPr>
          <w:lang w:eastAsia="pt-BR"/>
        </w:rPr>
        <w:t>à</w:t>
      </w:r>
      <w:r w:rsidRPr="00C04907">
        <w:rPr>
          <w:lang w:eastAsia="pt-BR"/>
        </w:rPr>
        <w:t xml:space="preserve"> energia elétrica acessível à fábrica</w:t>
      </w:r>
      <w:r>
        <w:rPr>
          <w:lang w:eastAsia="pt-BR"/>
        </w:rPr>
        <w:t>.</w:t>
      </w:r>
    </w:p>
    <w:p w14:paraId="6A3CAF79" w14:textId="7CC1AA79" w:rsidR="00A5402D" w:rsidRDefault="00C04907" w:rsidP="00366032">
      <w:pPr>
        <w:rPr>
          <w:lang w:eastAsia="pt-BR"/>
        </w:rPr>
      </w:pPr>
      <w:r>
        <w:rPr>
          <w:lang w:eastAsia="pt-BR"/>
        </w:rPr>
        <w:t xml:space="preserve">O </w:t>
      </w:r>
      <w:r w:rsidRPr="00877075">
        <w:rPr>
          <w:u w:val="single"/>
          <w:lang w:eastAsia="pt-BR"/>
        </w:rPr>
        <w:t>preço do crédito de carbono</w:t>
      </w:r>
      <w:r>
        <w:rPr>
          <w:lang w:eastAsia="pt-BR"/>
        </w:rPr>
        <w:t xml:space="preserve"> é o p</w:t>
      </w:r>
      <w:r w:rsidRPr="00C04907">
        <w:rPr>
          <w:lang w:eastAsia="pt-BR"/>
        </w:rPr>
        <w:t>reço representativo do crédito de carbono acessível em mercados regulados ou voluntários</w:t>
      </w:r>
      <w:r>
        <w:rPr>
          <w:lang w:eastAsia="pt-BR"/>
        </w:rPr>
        <w:t>.</w:t>
      </w:r>
    </w:p>
    <w:p w14:paraId="5A29BD31" w14:textId="064766AF" w:rsidR="00366032" w:rsidRPr="00877075" w:rsidRDefault="00366032" w:rsidP="00782F9D">
      <w:pPr>
        <w:pStyle w:val="Ttulo2"/>
      </w:pPr>
      <w:bookmarkStart w:id="14" w:name="_Toc144213645"/>
      <w:r w:rsidRPr="00877075">
        <w:t>Condições operacionais do projeto</w:t>
      </w:r>
      <w:bookmarkEnd w:id="14"/>
    </w:p>
    <w:p w14:paraId="432DA049" w14:textId="2AA723F9" w:rsidR="002C71E4" w:rsidRPr="00A46DFF" w:rsidRDefault="00366032" w:rsidP="00366032">
      <w:pPr>
        <w:rPr>
          <w:lang w:eastAsia="pt-BR"/>
        </w:rPr>
      </w:pPr>
      <w:r>
        <w:rPr>
          <w:lang w:eastAsia="pt-BR"/>
        </w:rPr>
        <w:t xml:space="preserve">O </w:t>
      </w:r>
      <w:r w:rsidRPr="00877075">
        <w:rPr>
          <w:u w:val="single"/>
          <w:lang w:eastAsia="pt-BR"/>
        </w:rPr>
        <w:t>fator operacional</w:t>
      </w:r>
      <w:r>
        <w:rPr>
          <w:lang w:eastAsia="pt-BR"/>
        </w:rPr>
        <w:t xml:space="preserve"> é </w:t>
      </w:r>
      <w:r w:rsidR="001F6CA3">
        <w:rPr>
          <w:lang w:eastAsia="pt-BR"/>
        </w:rPr>
        <w:t>uma</w:t>
      </w:r>
      <w:r w:rsidR="005E169F">
        <w:rPr>
          <w:lang w:eastAsia="pt-BR"/>
        </w:rPr>
        <w:t xml:space="preserve"> porcentagem que representa a</w:t>
      </w:r>
      <w:r>
        <w:rPr>
          <w:lang w:eastAsia="pt-BR"/>
        </w:rPr>
        <w:t xml:space="preserve"> </w:t>
      </w:r>
      <w:r w:rsidR="002C71E4">
        <w:rPr>
          <w:lang w:eastAsia="pt-BR"/>
        </w:rPr>
        <w:t>e</w:t>
      </w:r>
      <w:r w:rsidR="002C71E4" w:rsidRPr="002C71E4">
        <w:rPr>
          <w:lang w:eastAsia="pt-BR"/>
        </w:rPr>
        <w:t>xpectativa d</w:t>
      </w:r>
      <w:r w:rsidR="002C71E4">
        <w:rPr>
          <w:lang w:eastAsia="pt-BR"/>
        </w:rPr>
        <w:t>e tempo de</w:t>
      </w:r>
      <w:r w:rsidR="002C71E4" w:rsidRPr="002C71E4">
        <w:rPr>
          <w:lang w:eastAsia="pt-BR"/>
        </w:rPr>
        <w:t xml:space="preserve"> operação do projeto aplicável sobre o fator de capacidade do eletrolisador e a operação da fábrica</w:t>
      </w:r>
      <w:r w:rsidR="002C71E4">
        <w:rPr>
          <w:lang w:eastAsia="pt-BR"/>
        </w:rPr>
        <w:t>. Ou seja, o fator operacional define o tempo esperado de operação do projeto de hidrogênio verde, com base nas horas totais trabalhadas.</w:t>
      </w:r>
      <w:r w:rsidR="00A46DFF">
        <w:rPr>
          <w:lang w:eastAsia="pt-BR"/>
        </w:rPr>
        <w:t xml:space="preserve"> Por exemplo, um fator operacional definido em 100% será </w:t>
      </w:r>
      <w:r w:rsidR="002F3CB8">
        <w:rPr>
          <w:lang w:eastAsia="pt-BR"/>
        </w:rPr>
        <w:t>aplicado</w:t>
      </w:r>
      <w:r w:rsidR="00A46DFF">
        <w:rPr>
          <w:lang w:eastAsia="pt-BR"/>
        </w:rPr>
        <w:t xml:space="preserve"> sobre o total de horas trabalhadas em um ano (ex: 8760 h), tanto sobre o consumo definido da fonte fóssil quanto sobre o fator operacional do eletrolisador, configurando uma produção de H</w:t>
      </w:r>
      <w:r w:rsidR="00A46DFF">
        <w:rPr>
          <w:vertAlign w:val="subscript"/>
          <w:lang w:eastAsia="pt-BR"/>
        </w:rPr>
        <w:t>2</w:t>
      </w:r>
      <w:r w:rsidR="00A46DFF">
        <w:rPr>
          <w:lang w:eastAsia="pt-BR"/>
        </w:rPr>
        <w:t xml:space="preserve"> casada com a redução de consumo da fonte fóssil.</w:t>
      </w:r>
    </w:p>
    <w:p w14:paraId="215A9AE5" w14:textId="52E29AF9" w:rsidR="00877075" w:rsidRDefault="00877075" w:rsidP="00366032">
      <w:pPr>
        <w:rPr>
          <w:lang w:eastAsia="pt-BR"/>
        </w:rPr>
      </w:pPr>
      <w:r>
        <w:rPr>
          <w:lang w:eastAsia="pt-BR"/>
        </w:rPr>
        <w:t xml:space="preserve">O </w:t>
      </w:r>
      <w:r w:rsidRPr="00877075">
        <w:rPr>
          <w:u w:val="single"/>
          <w:lang w:eastAsia="pt-BR"/>
        </w:rPr>
        <w:t>total de horas trabalhadas</w:t>
      </w:r>
      <w:r>
        <w:rPr>
          <w:lang w:eastAsia="pt-BR"/>
        </w:rPr>
        <w:t xml:space="preserve"> em um ano é o tempo total, em horas, que uma dada operação ocorre em um período de um ano.</w:t>
      </w:r>
      <w:r w:rsidR="00A46DFF">
        <w:rPr>
          <w:lang w:eastAsia="pt-BR"/>
        </w:rPr>
        <w:t xml:space="preserve"> Por exemplo, um ano típico possui 365 dias ou 8760</w:t>
      </w:r>
      <w:r w:rsidR="002E003E">
        <w:rPr>
          <w:lang w:eastAsia="pt-BR"/>
        </w:rPr>
        <w:t xml:space="preserve"> </w:t>
      </w:r>
      <w:r w:rsidR="00A46DFF">
        <w:rPr>
          <w:lang w:eastAsia="pt-BR"/>
        </w:rPr>
        <w:t>h</w:t>
      </w:r>
      <w:r w:rsidR="002E003E">
        <w:rPr>
          <w:lang w:eastAsia="pt-BR"/>
        </w:rPr>
        <w:t>oras</w:t>
      </w:r>
      <w:r w:rsidR="00A46DFF">
        <w:rPr>
          <w:lang w:eastAsia="pt-BR"/>
        </w:rPr>
        <w:t xml:space="preserve">. O usuário pode definir que o total de horas trabalhadas em um ano é 8000h. </w:t>
      </w:r>
      <w:r w:rsidR="00B37392">
        <w:rPr>
          <w:lang w:eastAsia="pt-BR"/>
        </w:rPr>
        <w:t>Naturalmente, este valor deve ser combinado apropriadamente com o fator operacional.</w:t>
      </w:r>
    </w:p>
    <w:p w14:paraId="1514DD12" w14:textId="0ECD7F8D" w:rsidR="00877075" w:rsidRDefault="004D2FF0" w:rsidP="00877075">
      <w:pPr>
        <w:rPr>
          <w:lang w:eastAsia="pt-BR"/>
        </w:rPr>
      </w:pPr>
      <w:r>
        <w:rPr>
          <w:lang w:eastAsia="pt-BR"/>
        </w:rPr>
        <w:t>Com base no ano em que o projeto inicia, o</w:t>
      </w:r>
      <w:r w:rsidR="00877075">
        <w:rPr>
          <w:lang w:eastAsia="pt-BR"/>
        </w:rPr>
        <w:t xml:space="preserve"> </w:t>
      </w:r>
      <w:r w:rsidR="00877075" w:rsidRPr="007E07B7">
        <w:rPr>
          <w:u w:val="single"/>
          <w:lang w:eastAsia="pt-BR"/>
        </w:rPr>
        <w:t>período de investimento</w:t>
      </w:r>
      <w:r w:rsidR="00877075">
        <w:rPr>
          <w:lang w:eastAsia="pt-BR"/>
        </w:rPr>
        <w:t xml:space="preserve"> </w:t>
      </w:r>
      <w:r w:rsidR="00877075" w:rsidRPr="00877075">
        <w:rPr>
          <w:lang w:eastAsia="pt-BR"/>
        </w:rPr>
        <w:t xml:space="preserve">determina </w:t>
      </w:r>
      <w:r w:rsidR="00B37392">
        <w:rPr>
          <w:lang w:eastAsia="pt-BR"/>
        </w:rPr>
        <w:t xml:space="preserve">a quantidade de anos que o investimento será distribuído. A partir do último ano do período de investimento, o projeta entra em operação, acarretando </w:t>
      </w:r>
      <w:r w:rsidR="007E07B7">
        <w:rPr>
          <w:lang w:eastAsia="pt-BR"/>
        </w:rPr>
        <w:t xml:space="preserve">, por exemplo, </w:t>
      </w:r>
      <w:r w:rsidR="00B37392">
        <w:rPr>
          <w:lang w:eastAsia="pt-BR"/>
        </w:rPr>
        <w:t>n</w:t>
      </w:r>
      <w:r w:rsidR="007E07B7">
        <w:rPr>
          <w:lang w:eastAsia="pt-BR"/>
        </w:rPr>
        <w:t>o in</w:t>
      </w:r>
      <w:r w:rsidR="00B37392">
        <w:rPr>
          <w:lang w:eastAsia="pt-BR"/>
        </w:rPr>
        <w:t>í</w:t>
      </w:r>
      <w:r w:rsidR="007E07B7">
        <w:rPr>
          <w:lang w:eastAsia="pt-BR"/>
        </w:rPr>
        <w:t xml:space="preserve">cio da </w:t>
      </w:r>
      <w:r w:rsidR="00877075" w:rsidRPr="00877075">
        <w:rPr>
          <w:lang w:eastAsia="pt-BR"/>
        </w:rPr>
        <w:t>incidência d</w:t>
      </w:r>
      <w:r w:rsidR="00B37392">
        <w:rPr>
          <w:lang w:eastAsia="pt-BR"/>
        </w:rPr>
        <w:t>os</w:t>
      </w:r>
      <w:r w:rsidR="00877075" w:rsidRPr="00877075">
        <w:rPr>
          <w:lang w:eastAsia="pt-BR"/>
        </w:rPr>
        <w:t xml:space="preserve"> montantes financeiros operacionais</w:t>
      </w:r>
      <w:r w:rsidR="007E07B7">
        <w:rPr>
          <w:lang w:eastAsia="pt-BR"/>
        </w:rPr>
        <w:t>.</w:t>
      </w:r>
      <w:r w:rsidR="006D5872">
        <w:rPr>
          <w:lang w:eastAsia="pt-BR"/>
        </w:rPr>
        <w:t xml:space="preserve"> </w:t>
      </w:r>
      <w:r>
        <w:rPr>
          <w:lang w:eastAsia="pt-BR"/>
        </w:rPr>
        <w:t xml:space="preserve">O software foi desenvolvido para simular </w:t>
      </w:r>
      <w:r w:rsidR="00B37392">
        <w:rPr>
          <w:lang w:eastAsia="pt-BR"/>
        </w:rPr>
        <w:t xml:space="preserve">o período de investimento </w:t>
      </w:r>
      <w:r>
        <w:rPr>
          <w:lang w:eastAsia="pt-BR"/>
        </w:rPr>
        <w:t xml:space="preserve">de 1 a 5 anos. </w:t>
      </w:r>
    </w:p>
    <w:p w14:paraId="536AF439" w14:textId="2EBB02BC" w:rsidR="004D2FF0" w:rsidRDefault="004D2FF0" w:rsidP="00AD4F5F">
      <w:pPr>
        <w:rPr>
          <w:lang w:eastAsia="pt-BR"/>
        </w:rPr>
      </w:pPr>
      <w:r>
        <w:rPr>
          <w:lang w:eastAsia="pt-BR"/>
        </w:rPr>
        <w:t xml:space="preserve">A </w:t>
      </w:r>
      <w:r w:rsidRPr="00AD4F5F">
        <w:rPr>
          <w:u w:val="single"/>
          <w:lang w:eastAsia="pt-BR"/>
        </w:rPr>
        <w:t>taxa de desconto</w:t>
      </w:r>
      <w:r>
        <w:rPr>
          <w:lang w:eastAsia="pt-BR"/>
        </w:rPr>
        <w:t xml:space="preserve"> </w:t>
      </w:r>
      <w:r w:rsidR="00AD4F5F">
        <w:rPr>
          <w:lang w:eastAsia="pt-BR"/>
        </w:rPr>
        <w:t>é a t</w:t>
      </w:r>
      <w:r w:rsidR="00AD4F5F" w:rsidRPr="00AD4F5F">
        <w:rPr>
          <w:lang w:eastAsia="pt-BR"/>
        </w:rPr>
        <w:t>axa de desconto real aplicável sobre os montantes financeiros incidentes n</w:t>
      </w:r>
      <w:r w:rsidR="00AD4F5F">
        <w:rPr>
          <w:lang w:eastAsia="pt-BR"/>
        </w:rPr>
        <w:t>a simulação do</w:t>
      </w:r>
      <w:r w:rsidR="00AD4F5F" w:rsidRPr="00AD4F5F">
        <w:rPr>
          <w:lang w:eastAsia="pt-BR"/>
        </w:rPr>
        <w:t xml:space="preserve"> fluxo de caixa</w:t>
      </w:r>
      <w:r w:rsidR="00AD4F5F">
        <w:rPr>
          <w:lang w:eastAsia="pt-BR"/>
        </w:rPr>
        <w:t xml:space="preserve"> do projeto.</w:t>
      </w:r>
    </w:p>
    <w:p w14:paraId="5D26DB83" w14:textId="37006CDB" w:rsidR="00D047AA" w:rsidRDefault="00D047AA" w:rsidP="00782F9D">
      <w:pPr>
        <w:pStyle w:val="Ttulo2"/>
      </w:pPr>
      <w:bookmarkStart w:id="15" w:name="_Toc144213646"/>
      <w:r>
        <w:t>Seção de eletrolisadores</w:t>
      </w:r>
      <w:bookmarkEnd w:id="15"/>
    </w:p>
    <w:p w14:paraId="108FAE01" w14:textId="7CA30BC7" w:rsidR="00D047AA" w:rsidRDefault="00D047AA" w:rsidP="00D047AA">
      <w:pPr>
        <w:rPr>
          <w:lang w:eastAsia="pt-BR"/>
        </w:rPr>
      </w:pPr>
      <w:r>
        <w:rPr>
          <w:lang w:eastAsia="pt-BR"/>
        </w:rPr>
        <w:t xml:space="preserve">O </w:t>
      </w:r>
      <w:r w:rsidRPr="00D047AA">
        <w:rPr>
          <w:u w:val="single"/>
          <w:lang w:eastAsia="pt-BR"/>
        </w:rPr>
        <w:t>custo unitário do eletrolisador por unidade de potência instalada</w:t>
      </w:r>
      <w:r>
        <w:rPr>
          <w:lang w:eastAsia="pt-BR"/>
        </w:rPr>
        <w:t xml:space="preserve"> é</w:t>
      </w:r>
      <w:r w:rsidR="0091530B">
        <w:rPr>
          <w:lang w:eastAsia="pt-BR"/>
        </w:rPr>
        <w:t xml:space="preserve"> calculado como a razão entre o</w:t>
      </w:r>
      <w:r>
        <w:rPr>
          <w:lang w:eastAsia="pt-BR"/>
        </w:rPr>
        <w:t xml:space="preserve"> c</w:t>
      </w:r>
      <w:r w:rsidRPr="00D047AA">
        <w:rPr>
          <w:lang w:eastAsia="pt-BR"/>
        </w:rPr>
        <w:t>usto</w:t>
      </w:r>
      <w:r>
        <w:rPr>
          <w:lang w:eastAsia="pt-BR"/>
        </w:rPr>
        <w:t xml:space="preserve"> </w:t>
      </w:r>
      <w:r w:rsidR="0091530B">
        <w:rPr>
          <w:lang w:eastAsia="pt-BR"/>
        </w:rPr>
        <w:t xml:space="preserve">total de um eletrolisador pela sua potência </w:t>
      </w:r>
      <w:r w:rsidR="0091530B">
        <w:rPr>
          <w:lang w:eastAsia="pt-BR"/>
        </w:rPr>
        <w:lastRenderedPageBreak/>
        <w:t>nominal.</w:t>
      </w:r>
      <w:r>
        <w:rPr>
          <w:lang w:eastAsia="pt-BR"/>
        </w:rPr>
        <w:t xml:space="preserve"> Caso o usuário não possua estimativa</w:t>
      </w:r>
      <w:r w:rsidR="0091530B">
        <w:rPr>
          <w:lang w:eastAsia="pt-BR"/>
        </w:rPr>
        <w:t xml:space="preserve"> particular</w:t>
      </w:r>
      <w:r>
        <w:rPr>
          <w:lang w:eastAsia="pt-BR"/>
        </w:rPr>
        <w:t>,</w:t>
      </w:r>
      <w:r w:rsidR="0091530B">
        <w:rPr>
          <w:lang w:eastAsia="pt-BR"/>
        </w:rPr>
        <w:t xml:space="preserve"> </w:t>
      </w:r>
      <w:r w:rsidR="00A63EF3">
        <w:rPr>
          <w:lang w:eastAsia="pt-BR"/>
        </w:rPr>
        <w:t xml:space="preserve">o </w:t>
      </w:r>
      <w:r>
        <w:rPr>
          <w:lang w:eastAsia="pt-BR"/>
        </w:rPr>
        <w:t>valor fornecido pelo software</w:t>
      </w:r>
      <w:r w:rsidR="0091530B">
        <w:rPr>
          <w:lang w:eastAsia="pt-BR"/>
        </w:rPr>
        <w:t xml:space="preserve"> pode ser usado</w:t>
      </w:r>
      <w:r w:rsidR="00A63EF3">
        <w:rPr>
          <w:lang w:eastAsia="pt-BR"/>
        </w:rPr>
        <w:t xml:space="preserve"> como uma referência</w:t>
      </w:r>
      <w:r w:rsidR="00A63EF3">
        <w:rPr>
          <w:rStyle w:val="Refdenotaderodap"/>
          <w:lang w:eastAsia="pt-BR"/>
        </w:rPr>
        <w:footnoteReference w:id="3"/>
      </w:r>
      <w:r>
        <w:rPr>
          <w:lang w:eastAsia="pt-BR"/>
        </w:rPr>
        <w:t>.</w:t>
      </w:r>
    </w:p>
    <w:p w14:paraId="49D1A5F2" w14:textId="5E0D2553" w:rsidR="00D047AA" w:rsidRDefault="00D047AA" w:rsidP="00D047AA">
      <w:pPr>
        <w:rPr>
          <w:lang w:eastAsia="pt-BR"/>
        </w:rPr>
      </w:pPr>
      <w:r>
        <w:rPr>
          <w:lang w:eastAsia="pt-BR"/>
        </w:rPr>
        <w:t xml:space="preserve">A </w:t>
      </w:r>
      <w:r w:rsidRPr="00A8766F">
        <w:rPr>
          <w:u w:val="single"/>
          <w:lang w:eastAsia="pt-BR"/>
        </w:rPr>
        <w:t>taxa de degradação do eletrolisador</w:t>
      </w:r>
      <w:r>
        <w:rPr>
          <w:lang w:eastAsia="pt-BR"/>
        </w:rPr>
        <w:t xml:space="preserve"> </w:t>
      </w:r>
      <w:r w:rsidR="000C00A1">
        <w:rPr>
          <w:lang w:eastAsia="pt-BR"/>
        </w:rPr>
        <w:t>é um percentual de r</w:t>
      </w:r>
      <w:r w:rsidR="000C00A1" w:rsidRPr="000C00A1">
        <w:rPr>
          <w:lang w:eastAsia="pt-BR"/>
        </w:rPr>
        <w:t xml:space="preserve">edução da capacidade do eletrolisador de produzir </w:t>
      </w:r>
      <m:oMath>
        <m:sSub>
          <m:sSubPr>
            <m:ctrlPr>
              <w:rPr>
                <w:rFonts w:ascii="Cambria Math" w:hAnsi="Cambria Math"/>
                <w:iCs/>
                <w:lang w:eastAsia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pt-BR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pt-BR"/>
              </w:rPr>
              <m:t>2</m:t>
            </m:r>
          </m:sub>
        </m:sSub>
      </m:oMath>
      <w:r w:rsidR="00172E7F">
        <w:rPr>
          <w:lang w:eastAsia="pt-BR"/>
        </w:rPr>
        <w:t xml:space="preserve">, </w:t>
      </w:r>
      <w:r w:rsidR="000C00A1" w:rsidRPr="000C00A1">
        <w:rPr>
          <w:lang w:eastAsia="pt-BR"/>
        </w:rPr>
        <w:t>utilizando-se d</w:t>
      </w:r>
      <w:r w:rsidR="008E39AE">
        <w:rPr>
          <w:lang w:eastAsia="pt-BR"/>
        </w:rPr>
        <w:t>a</w:t>
      </w:r>
      <w:r w:rsidR="000C00A1" w:rsidRPr="000C00A1">
        <w:rPr>
          <w:lang w:eastAsia="pt-BR"/>
        </w:rPr>
        <w:t xml:space="preserve"> mesm</w:t>
      </w:r>
      <w:r w:rsidR="008E39AE">
        <w:rPr>
          <w:lang w:eastAsia="pt-BR"/>
        </w:rPr>
        <w:t>a</w:t>
      </w:r>
      <w:r w:rsidR="000C00A1" w:rsidRPr="000C00A1">
        <w:rPr>
          <w:lang w:eastAsia="pt-BR"/>
        </w:rPr>
        <w:t xml:space="preserve"> </w:t>
      </w:r>
      <w:r w:rsidR="008E39AE">
        <w:rPr>
          <w:lang w:eastAsia="pt-BR"/>
        </w:rPr>
        <w:t>quantidade de</w:t>
      </w:r>
      <w:r w:rsidR="000C00A1" w:rsidRPr="000C00A1">
        <w:rPr>
          <w:lang w:eastAsia="pt-BR"/>
        </w:rPr>
        <w:t xml:space="preserve"> energia elétrica</w:t>
      </w:r>
      <w:r w:rsidR="009C7712">
        <w:rPr>
          <w:lang w:eastAsia="pt-BR"/>
        </w:rPr>
        <w:t>.</w:t>
      </w:r>
      <w:r w:rsidR="0063251E">
        <w:rPr>
          <w:lang w:eastAsia="pt-BR"/>
        </w:rPr>
        <w:t xml:space="preserve"> </w:t>
      </w:r>
      <w:r w:rsidR="008136E3">
        <w:rPr>
          <w:lang w:eastAsia="pt-BR"/>
        </w:rPr>
        <w:t>C</w:t>
      </w:r>
      <w:r w:rsidR="0063251E">
        <w:rPr>
          <w:lang w:eastAsia="pt-BR"/>
        </w:rPr>
        <w:t xml:space="preserve">aso o usuário não possua estimativa particular, o valor </w:t>
      </w:r>
      <w:r w:rsidR="008136E3">
        <w:rPr>
          <w:lang w:eastAsia="pt-BR"/>
        </w:rPr>
        <w:t>sugerido</w:t>
      </w:r>
      <w:r w:rsidR="0063251E">
        <w:rPr>
          <w:lang w:eastAsia="pt-BR"/>
        </w:rPr>
        <w:t xml:space="preserve"> pelo software pode ser</w:t>
      </w:r>
      <w:r w:rsidR="008136E3">
        <w:rPr>
          <w:lang w:eastAsia="pt-BR"/>
        </w:rPr>
        <w:t xml:space="preserve"> aplicado aos eletrolisadores de tecnologia PEM</w:t>
      </w:r>
      <w:r w:rsidR="0063251E">
        <w:rPr>
          <w:lang w:eastAsia="pt-BR"/>
        </w:rPr>
        <w:t>.</w:t>
      </w:r>
      <w:r w:rsidR="00A63EF3">
        <w:rPr>
          <w:lang w:eastAsia="pt-BR"/>
        </w:rPr>
        <w:t xml:space="preserve"> Caso este fator não se aplique ao projeto do usuário, há a opção de introduzir o valor zero no campo.</w:t>
      </w:r>
    </w:p>
    <w:p w14:paraId="389F6544" w14:textId="0381B4DE" w:rsidR="0051113D" w:rsidRDefault="0051113D" w:rsidP="00782F9D">
      <w:pPr>
        <w:pStyle w:val="Ttulo2"/>
      </w:pPr>
      <w:bookmarkStart w:id="16" w:name="_Toc144213647"/>
      <w:r>
        <w:t>Seleção de eletrolisadores</w:t>
      </w:r>
      <w:bookmarkEnd w:id="16"/>
    </w:p>
    <w:p w14:paraId="6D1314C0" w14:textId="1607BD0B" w:rsidR="00477AD1" w:rsidRDefault="0051113D" w:rsidP="0051113D">
      <w:r>
        <w:rPr>
          <w:lang w:eastAsia="pt-BR"/>
        </w:rPr>
        <w:t>A seleção d</w:t>
      </w:r>
      <w:r w:rsidR="00247EA2">
        <w:rPr>
          <w:lang w:eastAsia="pt-BR"/>
        </w:rPr>
        <w:t>os</w:t>
      </w:r>
      <w:r>
        <w:rPr>
          <w:lang w:eastAsia="pt-BR"/>
        </w:rPr>
        <w:t xml:space="preserve"> eletrolisador</w:t>
      </w:r>
      <w:r w:rsidR="00247EA2">
        <w:rPr>
          <w:lang w:eastAsia="pt-BR"/>
        </w:rPr>
        <w:t>es</w:t>
      </w:r>
      <w:r w:rsidR="00477AD1">
        <w:rPr>
          <w:lang w:eastAsia="pt-BR"/>
        </w:rPr>
        <w:t xml:space="preserve"> é feita através da coluna </w:t>
      </w:r>
      <w:r w:rsidR="00477AD1" w:rsidRPr="00477AD1">
        <w:rPr>
          <w:b/>
          <w:bCs/>
        </w:rPr>
        <w:t>Modelo</w:t>
      </w:r>
      <w:r w:rsidR="00247EA2">
        <w:t>. Há três linhas que competem à seleção do gerador de hidrogênio. As duas primeiras linhas realizam a inserção automática das especificações técnicas dos eletrolisadores apresentados na página (3) Eletrolisadores</w:t>
      </w:r>
      <w:r w:rsidR="00BF5EAD">
        <w:t>, enquanto a última linha é reservada para inserção manual das especificações técnicas d</w:t>
      </w:r>
      <w:r w:rsidR="00353A78">
        <w:t>e um</w:t>
      </w:r>
      <w:r w:rsidR="00BF5EAD">
        <w:t xml:space="preserve"> equipamento</w:t>
      </w:r>
      <w:r w:rsidR="00353A78">
        <w:t xml:space="preserve"> inferido pelo próprio usuário</w:t>
      </w:r>
      <w:r w:rsidR="00BF5EAD">
        <w:t xml:space="preserve">. </w:t>
      </w:r>
      <w:r w:rsidR="00247EA2">
        <w:t>Para efetuar a seleção</w:t>
      </w:r>
      <w:r w:rsidR="00BF5EAD">
        <w:t xml:space="preserve"> automática</w:t>
      </w:r>
      <w:r w:rsidR="00247EA2">
        <w:t>,</w:t>
      </w:r>
      <w:r w:rsidR="00477AD1">
        <w:t xml:space="preserve"> clique na célula </w:t>
      </w:r>
      <w:r w:rsidR="00247EA2">
        <w:t xml:space="preserve">correspondente </w:t>
      </w:r>
      <w:r w:rsidR="009103F7">
        <w:t xml:space="preserve">ao modelo do eletrolisador </w:t>
      </w:r>
      <w:r w:rsidR="00477AD1">
        <w:t xml:space="preserve">e, em seguida, clique na seta que aparece à direita para exibir a lista de </w:t>
      </w:r>
      <w:r w:rsidR="00247EA2">
        <w:t>eletrolisadores</w:t>
      </w:r>
      <w:r w:rsidR="00477AD1">
        <w:t xml:space="preserve"> disponíveis. Após, clique no </w:t>
      </w:r>
      <w:r w:rsidR="00247EA2">
        <w:t>eletrolisador</w:t>
      </w:r>
      <w:r w:rsidR="009103F7">
        <w:t xml:space="preserve"> desejado </w:t>
      </w:r>
      <w:r w:rsidR="00477AD1">
        <w:t xml:space="preserve">para selecioná-lo à simulação. Caso o </w:t>
      </w:r>
      <w:r w:rsidR="009103F7">
        <w:t>equipamento</w:t>
      </w:r>
      <w:r w:rsidR="00477AD1">
        <w:t xml:space="preserve"> desejado não conste na lista</w:t>
      </w:r>
      <w:r w:rsidR="009103F7">
        <w:t xml:space="preserve">, </w:t>
      </w:r>
      <w:r w:rsidR="00BF5EAD">
        <w:t>insira</w:t>
      </w:r>
      <w:r w:rsidR="009103F7">
        <w:t xml:space="preserve"> as especificações técnicas do eletrolisador desejado nos campos </w:t>
      </w:r>
      <w:r w:rsidR="00BF5EAD">
        <w:t xml:space="preserve">de letras </w:t>
      </w:r>
      <w:r w:rsidR="009103F7">
        <w:t>azu</w:t>
      </w:r>
      <w:r w:rsidR="00BF5EAD">
        <w:t xml:space="preserve">is </w:t>
      </w:r>
      <w:r w:rsidR="009103F7">
        <w:t>da terceira linha</w:t>
      </w:r>
      <w:r w:rsidR="00BF5EAD">
        <w:t>.</w:t>
      </w:r>
    </w:p>
    <w:p w14:paraId="0A0C2513" w14:textId="2BDC2290" w:rsidR="001F6CA3" w:rsidRDefault="00BF5EAD" w:rsidP="00BF5EAD">
      <w:r>
        <w:t xml:space="preserve">A quantidade de eletrolisadores pode ser ajustada na coluna </w:t>
      </w:r>
      <w:r w:rsidRPr="00BF5EAD">
        <w:rPr>
          <w:b/>
          <w:bCs/>
        </w:rPr>
        <w:t>Qtd</w:t>
      </w:r>
      <w:r>
        <w:t xml:space="preserve">. Vale ressaltar que a inserção do valor zero na lacuna de quantidade implica na </w:t>
      </w:r>
      <w:r w:rsidR="00AF0BEA">
        <w:t>desconsideração do eletrolisador para a simulação.</w:t>
      </w:r>
      <w:r w:rsidR="00353A78">
        <w:t xml:space="preserve"> Destaca-se que o modelo foi construído de forma que o usuário possa escolher vários módulos de um eletrolisador da lista, vários módulos de um eletrolisador próprio, ou a combinação de vários módulos de um eletrolisador da lista junto a um eletrolisador definido ao próprio usuário.</w:t>
      </w:r>
    </w:p>
    <w:p w14:paraId="7F5AE8C9" w14:textId="1B03E054" w:rsidR="00AF0BEA" w:rsidRDefault="00AF0BEA" w:rsidP="00BF5EAD">
      <w:r>
        <w:lastRenderedPageBreak/>
        <w:t xml:space="preserve">O </w:t>
      </w:r>
      <w:r w:rsidRPr="00AF0BEA">
        <w:rPr>
          <w:u w:val="single"/>
        </w:rPr>
        <w:t>sumário do sistema de eletrólise</w:t>
      </w:r>
      <w:r>
        <w:t xml:space="preserve"> indica as especificações técnicas de todo o sistema de eletrólise que compõe a simulação. </w:t>
      </w:r>
    </w:p>
    <w:p w14:paraId="51A38543" w14:textId="57D7D781" w:rsidR="00AF0BEA" w:rsidRDefault="00AF0BEA" w:rsidP="00BF5EAD">
      <w:r>
        <w:t xml:space="preserve">O </w:t>
      </w:r>
      <w:r w:rsidRPr="00C317E5">
        <w:rPr>
          <w:u w:val="single"/>
        </w:rPr>
        <w:t>alerta de alinhamento com a condição inicial</w:t>
      </w:r>
      <w:r>
        <w:t xml:space="preserve"> </w:t>
      </w:r>
      <w:r w:rsidR="00C317E5">
        <w:t>sinaliza a diferença percentual entre a</w:t>
      </w:r>
      <w:r>
        <w:t xml:space="preserve"> </w:t>
      </w:r>
      <w:r w:rsidR="00C317E5">
        <w:t>potência instalada de eletrólise indicada no (4.1) Diagnóstico e análise preliminar com a pot</w:t>
      </w:r>
      <w:r w:rsidR="00353A78">
        <w:t>ê</w:t>
      </w:r>
      <w:r w:rsidR="00C317E5">
        <w:t>ncia instalada de eletrólise segundo a seleção dos eletrolisadores. Recomenda-se atingir a menor diferença</w:t>
      </w:r>
      <w:r w:rsidR="00353A78">
        <w:t xml:space="preserve"> possível, de tal forma que a simulação atinja o objetivo inicial estabelecido pelo usuário</w:t>
      </w:r>
      <w:r w:rsidR="00C317E5">
        <w:t xml:space="preserve">. </w:t>
      </w:r>
      <w:r w:rsidR="00FC2616">
        <w:t>P</w:t>
      </w:r>
      <w:r w:rsidR="00C317E5">
        <w:t>ara todos os efeitos, a simulação prossegue considerando o sumário do sistema de eletrólise.</w:t>
      </w:r>
      <w:r w:rsidR="00353A78">
        <w:t xml:space="preserve"> A título de exemplo, se no </w:t>
      </w:r>
      <w:r w:rsidR="00A10352">
        <w:t xml:space="preserve">(4.1) </w:t>
      </w:r>
      <w:r w:rsidR="00353A78">
        <w:t xml:space="preserve">Diagnóstico e análise preliminar for indicado 1,6 MW de potência, e o usuário selecionar três eletrolisadores de 500 kW da lista junto </w:t>
      </w:r>
      <w:r w:rsidR="00AC682B">
        <w:t xml:space="preserve">a </w:t>
      </w:r>
      <w:r w:rsidR="00353A78">
        <w:t xml:space="preserve">um eletrolisador de 250 kW definido pelo </w:t>
      </w:r>
      <w:r w:rsidR="00AC682B">
        <w:t xml:space="preserve">próprio </w:t>
      </w:r>
      <w:r w:rsidR="00353A78">
        <w:t>usuário, totalizando 1,75 MW</w:t>
      </w:r>
      <w:r w:rsidR="00AC682B">
        <w:t>, o alerta de alinhamento com a condição inicial indicará que a potência da configuração excede nominalmente em 9% o diagnóstico preliminar. De qualquer modo, a configuração de 1,75 MW definida pelo usuário estará sendo utilizada na simulação.</w:t>
      </w:r>
    </w:p>
    <w:p w14:paraId="788160B8" w14:textId="48449741" w:rsidR="00C317E5" w:rsidRDefault="00C317E5" w:rsidP="00782F9D">
      <w:pPr>
        <w:pStyle w:val="Ttulo2"/>
      </w:pPr>
      <w:bookmarkStart w:id="17" w:name="_Toc144213648"/>
      <w:r w:rsidRPr="00FC2616">
        <w:t xml:space="preserve">Custos de capital </w:t>
      </w:r>
      <w:r w:rsidR="00FC2616" w:rsidRPr="00FC2616">
        <w:t>e operacionais do eletrolisador</w:t>
      </w:r>
      <w:bookmarkEnd w:id="17"/>
    </w:p>
    <w:p w14:paraId="3B9F0914" w14:textId="77777777" w:rsidR="00EA0479" w:rsidRDefault="007A145D" w:rsidP="00FC2616">
      <w:pPr>
        <w:rPr>
          <w:lang w:eastAsia="pt-BR"/>
        </w:rPr>
      </w:pPr>
      <w:r>
        <w:rPr>
          <w:lang w:eastAsia="pt-BR"/>
        </w:rPr>
        <w:t xml:space="preserve">Nesta seção é apresentada a composição do CAPEX e do OPEX para o projeto de geração de hidrogênio verde. </w:t>
      </w:r>
    </w:p>
    <w:p w14:paraId="5D793D7B" w14:textId="0E73650E" w:rsidR="00FC2616" w:rsidRDefault="007A145D" w:rsidP="00FC2616">
      <w:pPr>
        <w:rPr>
          <w:lang w:eastAsia="pt-BR"/>
        </w:rPr>
      </w:pPr>
      <w:r>
        <w:rPr>
          <w:lang w:eastAsia="pt-BR"/>
        </w:rPr>
        <w:t xml:space="preserve">O </w:t>
      </w:r>
      <w:r w:rsidRPr="007A145D">
        <w:rPr>
          <w:u w:val="single"/>
          <w:lang w:eastAsia="pt-BR"/>
        </w:rPr>
        <w:t>orçamento de investimento</w:t>
      </w:r>
      <w:r>
        <w:rPr>
          <w:lang w:eastAsia="pt-BR"/>
        </w:rPr>
        <w:t xml:space="preserve"> descreve os itens d</w:t>
      </w:r>
      <w:r w:rsidR="00540F4A">
        <w:rPr>
          <w:lang w:eastAsia="pt-BR"/>
        </w:rPr>
        <w:t>a despesa de capital</w:t>
      </w:r>
      <w:r w:rsidR="00EA0479">
        <w:rPr>
          <w:lang w:eastAsia="pt-BR"/>
        </w:rPr>
        <w:t xml:space="preserve"> (CAPEX). Esses itens </w:t>
      </w:r>
      <w:r>
        <w:rPr>
          <w:lang w:eastAsia="pt-BR"/>
        </w:rPr>
        <w:t>possu</w:t>
      </w:r>
      <w:r w:rsidR="00EA0479">
        <w:rPr>
          <w:lang w:eastAsia="pt-BR"/>
        </w:rPr>
        <w:t>em</w:t>
      </w:r>
      <w:r>
        <w:rPr>
          <w:lang w:eastAsia="pt-BR"/>
        </w:rPr>
        <w:t xml:space="preserve"> valor</w:t>
      </w:r>
      <w:r w:rsidR="00EA0479">
        <w:rPr>
          <w:lang w:eastAsia="pt-BR"/>
        </w:rPr>
        <w:t>es</w:t>
      </w:r>
      <w:r>
        <w:rPr>
          <w:lang w:eastAsia="pt-BR"/>
        </w:rPr>
        <w:t xml:space="preserve"> </w:t>
      </w:r>
      <w:r w:rsidR="00EA0479">
        <w:rPr>
          <w:lang w:eastAsia="pt-BR"/>
        </w:rPr>
        <w:t>que correspondem a um certo</w:t>
      </w:r>
      <w:r>
        <w:rPr>
          <w:lang w:eastAsia="pt-BR"/>
        </w:rPr>
        <w:t xml:space="preserve"> percentua</w:t>
      </w:r>
      <w:r w:rsidR="00EA0479">
        <w:rPr>
          <w:lang w:eastAsia="pt-BR"/>
        </w:rPr>
        <w:t>l</w:t>
      </w:r>
      <w:r>
        <w:rPr>
          <w:lang w:eastAsia="pt-BR"/>
        </w:rPr>
        <w:t xml:space="preserve"> d</w:t>
      </w:r>
      <w:r w:rsidR="00EA0479">
        <w:rPr>
          <w:lang w:eastAsia="pt-BR"/>
        </w:rPr>
        <w:t>o</w:t>
      </w:r>
      <w:r>
        <w:rPr>
          <w:lang w:eastAsia="pt-BR"/>
        </w:rPr>
        <w:t xml:space="preserve"> investimento do eletrolisador </w:t>
      </w:r>
      <w:r w:rsidR="00540F4A">
        <w:rPr>
          <w:lang w:eastAsia="pt-BR"/>
        </w:rPr>
        <w:t>(</w:t>
      </w:r>
      <w:r w:rsidRPr="007A145D">
        <w:rPr>
          <w:u w:val="single"/>
          <w:lang w:eastAsia="pt-BR"/>
        </w:rPr>
        <w:t>% do Eletrolisador</w:t>
      </w:r>
      <w:r w:rsidR="00540F4A">
        <w:rPr>
          <w:u w:val="single"/>
          <w:lang w:eastAsia="pt-BR"/>
        </w:rPr>
        <w:t>)</w:t>
      </w:r>
      <w:r>
        <w:rPr>
          <w:lang w:eastAsia="pt-BR"/>
        </w:rPr>
        <w:t xml:space="preserve">. </w:t>
      </w:r>
      <w:r w:rsidR="00EA0479">
        <w:rPr>
          <w:lang w:eastAsia="pt-BR"/>
        </w:rPr>
        <w:t>Assim, o ajust</w:t>
      </w:r>
      <w:r w:rsidR="009B784D">
        <w:rPr>
          <w:lang w:eastAsia="pt-BR"/>
        </w:rPr>
        <w:t>e</w:t>
      </w:r>
      <w:r w:rsidR="00EA0479">
        <w:rPr>
          <w:lang w:eastAsia="pt-BR"/>
        </w:rPr>
        <w:t xml:space="preserve"> do valor de cada item pode ser feito com a mudança no </w:t>
      </w:r>
      <w:r w:rsidR="009B784D">
        <w:rPr>
          <w:lang w:eastAsia="pt-BR"/>
        </w:rPr>
        <w:t xml:space="preserve">valor </w:t>
      </w:r>
      <w:r w:rsidR="00EA0479">
        <w:rPr>
          <w:lang w:eastAsia="pt-BR"/>
        </w:rPr>
        <w:t xml:space="preserve">percentual do investimento do eletrolisador. </w:t>
      </w:r>
      <w:r w:rsidR="00540F4A">
        <w:rPr>
          <w:lang w:eastAsia="pt-BR"/>
        </w:rPr>
        <w:t xml:space="preserve">Caso não haja estimativa </w:t>
      </w:r>
      <w:r w:rsidR="00EA0479">
        <w:rPr>
          <w:lang w:eastAsia="pt-BR"/>
        </w:rPr>
        <w:t xml:space="preserve">consolidada </w:t>
      </w:r>
      <w:r w:rsidR="00540F4A">
        <w:rPr>
          <w:lang w:eastAsia="pt-BR"/>
        </w:rPr>
        <w:t xml:space="preserve">sobre </w:t>
      </w:r>
      <w:r w:rsidR="00EA0479">
        <w:rPr>
          <w:lang w:eastAsia="pt-BR"/>
        </w:rPr>
        <w:t>os respectivos valores percentuais que compõem o CAPEX, recomenda-se permanecer com os valores mostrados no software.</w:t>
      </w:r>
      <w:r w:rsidR="009B784D">
        <w:rPr>
          <w:lang w:eastAsia="pt-BR"/>
        </w:rPr>
        <w:t xml:space="preserve"> Por fim, é mostrado o investimento no sistema de eletrólise como sendo a soma dos itens que compõem o CAPEX. Caso o usuário que</w:t>
      </w:r>
      <w:r w:rsidR="00AC682B">
        <w:rPr>
          <w:lang w:eastAsia="pt-BR"/>
        </w:rPr>
        <w:t>i</w:t>
      </w:r>
      <w:r w:rsidR="009B784D">
        <w:rPr>
          <w:lang w:eastAsia="pt-BR"/>
        </w:rPr>
        <w:t xml:space="preserve">ra realizar a simulação com uma determinada despesa de capital, basta inserir o valor a ser considerado na lacuna do </w:t>
      </w:r>
      <w:r w:rsidR="009B784D" w:rsidRPr="009B784D">
        <w:rPr>
          <w:u w:val="single"/>
          <w:lang w:eastAsia="pt-BR"/>
        </w:rPr>
        <w:t>CAPEX do eletrolisador</w:t>
      </w:r>
      <w:r w:rsidR="009B784D">
        <w:rPr>
          <w:u w:val="single"/>
          <w:lang w:eastAsia="pt-BR"/>
        </w:rPr>
        <w:t>.</w:t>
      </w:r>
    </w:p>
    <w:p w14:paraId="3BB0F64A" w14:textId="32F3B814" w:rsidR="00EA0479" w:rsidRDefault="00EA0479" w:rsidP="00FC2616">
      <w:pPr>
        <w:rPr>
          <w:lang w:eastAsia="pt-BR"/>
        </w:rPr>
      </w:pPr>
      <w:r>
        <w:rPr>
          <w:lang w:eastAsia="pt-BR"/>
        </w:rPr>
        <w:t>O</w:t>
      </w:r>
      <w:r w:rsidR="00EF690E">
        <w:rPr>
          <w:lang w:eastAsia="pt-BR"/>
        </w:rPr>
        <w:t xml:space="preserve">s </w:t>
      </w:r>
      <w:r w:rsidR="00EF690E" w:rsidRPr="00EF690E">
        <w:rPr>
          <w:u w:val="single"/>
          <w:lang w:eastAsia="pt-BR"/>
        </w:rPr>
        <w:t>custos de operação</w:t>
      </w:r>
      <w:r w:rsidR="00EF690E">
        <w:rPr>
          <w:lang w:eastAsia="pt-BR"/>
        </w:rPr>
        <w:t xml:space="preserve"> descrevem os itens das despesas operacionais (OPEX). Esses itens possuem valores que correspondem a um certo percentual do investimento do eletrolisador (</w:t>
      </w:r>
      <w:r w:rsidR="00EF690E" w:rsidRPr="007A145D">
        <w:rPr>
          <w:u w:val="single"/>
          <w:lang w:eastAsia="pt-BR"/>
        </w:rPr>
        <w:t>% do Eletrolisador</w:t>
      </w:r>
      <w:r w:rsidR="00EF690E">
        <w:rPr>
          <w:u w:val="single"/>
          <w:lang w:eastAsia="pt-BR"/>
        </w:rPr>
        <w:t>)</w:t>
      </w:r>
      <w:r w:rsidR="005D69AA">
        <w:rPr>
          <w:lang w:eastAsia="pt-BR"/>
        </w:rPr>
        <w:t xml:space="preserve">, de modo que </w:t>
      </w:r>
      <w:r w:rsidR="00EF690E">
        <w:rPr>
          <w:lang w:eastAsia="pt-BR"/>
        </w:rPr>
        <w:t xml:space="preserve">o ajuste do </w:t>
      </w:r>
      <w:r w:rsidR="00EF690E">
        <w:rPr>
          <w:lang w:eastAsia="pt-BR"/>
        </w:rPr>
        <w:lastRenderedPageBreak/>
        <w:t>valor de cada item pode ser feito com a mudança no</w:t>
      </w:r>
      <w:r w:rsidR="005D69AA">
        <w:rPr>
          <w:lang w:eastAsia="pt-BR"/>
        </w:rPr>
        <w:t xml:space="preserve"> </w:t>
      </w:r>
      <w:r w:rsidR="00EF690E">
        <w:rPr>
          <w:lang w:eastAsia="pt-BR"/>
        </w:rPr>
        <w:t>percentual d</w:t>
      </w:r>
      <w:r w:rsidR="005D69AA">
        <w:rPr>
          <w:lang w:eastAsia="pt-BR"/>
        </w:rPr>
        <w:t>e</w:t>
      </w:r>
      <w:r w:rsidR="00EF690E">
        <w:rPr>
          <w:lang w:eastAsia="pt-BR"/>
        </w:rPr>
        <w:t xml:space="preserve"> investimento do eletrolisador</w:t>
      </w:r>
      <w:r w:rsidR="005D69AA">
        <w:rPr>
          <w:lang w:eastAsia="pt-BR"/>
        </w:rPr>
        <w:t xml:space="preserve"> (</w:t>
      </w:r>
      <w:r w:rsidR="005D69AA" w:rsidRPr="007A145D">
        <w:rPr>
          <w:u w:val="single"/>
          <w:lang w:eastAsia="pt-BR"/>
        </w:rPr>
        <w:t>% do Eletrolisador</w:t>
      </w:r>
      <w:r w:rsidR="005D69AA">
        <w:rPr>
          <w:u w:val="single"/>
          <w:lang w:eastAsia="pt-BR"/>
        </w:rPr>
        <w:t>)</w:t>
      </w:r>
      <w:r w:rsidR="005D69AA">
        <w:rPr>
          <w:lang w:eastAsia="pt-BR"/>
        </w:rPr>
        <w:t>.</w:t>
      </w:r>
      <w:r w:rsidR="00EF690E">
        <w:rPr>
          <w:lang w:eastAsia="pt-BR"/>
        </w:rPr>
        <w:t xml:space="preserve"> </w:t>
      </w:r>
      <w:r w:rsidR="00D24EEA">
        <w:rPr>
          <w:lang w:eastAsia="pt-BR"/>
        </w:rPr>
        <w:t xml:space="preserve">Vale ressaltar que, caso o eletrolisador selecionado seja de tecnologia alcalina, não </w:t>
      </w:r>
      <w:r w:rsidR="000426B9">
        <w:rPr>
          <w:lang w:eastAsia="pt-BR"/>
        </w:rPr>
        <w:t>se aplica a</w:t>
      </w:r>
      <w:r w:rsidR="00D24EEA">
        <w:rPr>
          <w:lang w:eastAsia="pt-BR"/>
        </w:rPr>
        <w:t xml:space="preserve"> </w:t>
      </w:r>
      <w:r w:rsidR="00D24EEA" w:rsidRPr="000426B9">
        <w:rPr>
          <w:u w:val="single"/>
          <w:lang w:eastAsia="pt-BR"/>
        </w:rPr>
        <w:t>troca da membrana</w:t>
      </w:r>
      <w:r w:rsidR="00D24EEA">
        <w:rPr>
          <w:lang w:eastAsia="pt-BR"/>
        </w:rPr>
        <w:t xml:space="preserve"> </w:t>
      </w:r>
      <w:r w:rsidR="000426B9">
        <w:rPr>
          <w:lang w:eastAsia="pt-BR"/>
        </w:rPr>
        <w:t xml:space="preserve">e, por isso, </w:t>
      </w:r>
      <w:r w:rsidR="007D4996">
        <w:rPr>
          <w:lang w:eastAsia="pt-BR"/>
        </w:rPr>
        <w:t>ao campo</w:t>
      </w:r>
      <w:r w:rsidR="000426B9">
        <w:rPr>
          <w:lang w:eastAsia="pt-BR"/>
        </w:rPr>
        <w:t xml:space="preserve"> referente </w:t>
      </w:r>
      <w:r w:rsidR="00750DF8">
        <w:rPr>
          <w:lang w:eastAsia="pt-BR"/>
        </w:rPr>
        <w:t>a</w:t>
      </w:r>
      <w:r w:rsidR="000426B9">
        <w:rPr>
          <w:lang w:eastAsia="pt-BR"/>
        </w:rPr>
        <w:t xml:space="preserve"> esse custo </w:t>
      </w:r>
      <w:r w:rsidR="00D24EEA">
        <w:rPr>
          <w:lang w:eastAsia="pt-BR"/>
        </w:rPr>
        <w:t xml:space="preserve">deve </w:t>
      </w:r>
      <w:r w:rsidR="007D4996">
        <w:rPr>
          <w:lang w:eastAsia="pt-BR"/>
        </w:rPr>
        <w:t>ser inserido</w:t>
      </w:r>
      <w:r w:rsidR="000426B9">
        <w:rPr>
          <w:lang w:eastAsia="pt-BR"/>
        </w:rPr>
        <w:t xml:space="preserve"> porcentagem nula sobre o investimento do eletrolisador.  </w:t>
      </w:r>
      <w:r w:rsidR="00EF690E">
        <w:rPr>
          <w:lang w:eastAsia="pt-BR"/>
        </w:rPr>
        <w:t>Caso não haja estimativa consolidada sobre os respectivos valores percentuais que compõem o OPEX, recomenda-se permanecer com os valores mostrados no software.</w:t>
      </w:r>
    </w:p>
    <w:p w14:paraId="7F3C862B" w14:textId="231C1743" w:rsidR="00F003EF" w:rsidRDefault="007D4996" w:rsidP="00F003EF">
      <w:pPr>
        <w:rPr>
          <w:lang w:eastAsia="pt-BR"/>
        </w:rPr>
      </w:pPr>
      <w:r>
        <w:rPr>
          <w:lang w:eastAsia="pt-BR"/>
        </w:rPr>
        <w:t xml:space="preserve">O </w:t>
      </w:r>
      <w:r w:rsidRPr="00A33A89">
        <w:rPr>
          <w:u w:val="single"/>
          <w:lang w:eastAsia="pt-BR"/>
        </w:rPr>
        <w:t>valor residual no último ano</w:t>
      </w:r>
      <w:r>
        <w:rPr>
          <w:lang w:eastAsia="pt-BR"/>
        </w:rPr>
        <w:t xml:space="preserve"> permite </w:t>
      </w:r>
      <w:r w:rsidR="00F003EF">
        <w:rPr>
          <w:lang w:eastAsia="pt-BR"/>
        </w:rPr>
        <w:t>a</w:t>
      </w:r>
      <w:r>
        <w:rPr>
          <w:lang w:eastAsia="pt-BR"/>
        </w:rPr>
        <w:t>o usuário</w:t>
      </w:r>
      <w:r w:rsidR="0002403E">
        <w:rPr>
          <w:lang w:eastAsia="pt-BR"/>
        </w:rPr>
        <w:t xml:space="preserve"> considerar uma recuperação de caixa no último ano do projeto. O valor residual é estimado sobre somente o custo total de todos os eletrolisadores, sendo equivalente a porcentagem definida. Caso o usuário deseje negligenciar essa possibilidade, pode ser inserido valor zero para o percentual ou no próprio valor do custo residual.</w:t>
      </w:r>
    </w:p>
    <w:p w14:paraId="3AD8EEFB" w14:textId="1E0FC0BA" w:rsidR="002852E8" w:rsidRDefault="001E0C73" w:rsidP="00063D58">
      <w:pPr>
        <w:pStyle w:val="Ttulo1"/>
      </w:pPr>
      <w:bookmarkStart w:id="18" w:name="_Toc143035729"/>
      <w:bookmarkStart w:id="19" w:name="_Toc144210879"/>
      <w:bookmarkStart w:id="20" w:name="_Toc144210933"/>
      <w:bookmarkStart w:id="21" w:name="_Toc144213332"/>
      <w:bookmarkStart w:id="22" w:name="_Toc144213381"/>
      <w:bookmarkStart w:id="23" w:name="_Toc144213609"/>
      <w:bookmarkStart w:id="24" w:name="_Toc144213649"/>
      <w:bookmarkStart w:id="25" w:name="_Toc144213651"/>
      <w:bookmarkEnd w:id="18"/>
      <w:bookmarkEnd w:id="19"/>
      <w:bookmarkEnd w:id="20"/>
      <w:bookmarkEnd w:id="21"/>
      <w:bookmarkEnd w:id="22"/>
      <w:bookmarkEnd w:id="23"/>
      <w:bookmarkEnd w:id="24"/>
      <w:r>
        <w:t>Simulação</w:t>
      </w:r>
      <w:r w:rsidR="00825365">
        <w:t xml:space="preserve"> e f</w:t>
      </w:r>
      <w:r w:rsidR="00172F23">
        <w:t>luxo</w:t>
      </w:r>
      <w:r>
        <w:t xml:space="preserve"> de caixa</w:t>
      </w:r>
      <w:bookmarkEnd w:id="25"/>
    </w:p>
    <w:p w14:paraId="729723CD" w14:textId="619F5697" w:rsidR="004C1832" w:rsidRDefault="00172F23" w:rsidP="00172F23">
      <w:pPr>
        <w:rPr>
          <w:lang w:eastAsia="pt-BR"/>
        </w:rPr>
      </w:pPr>
      <w:r>
        <w:rPr>
          <w:lang w:eastAsia="pt-BR"/>
        </w:rPr>
        <w:t xml:space="preserve">A </w:t>
      </w:r>
      <w:r w:rsidR="006C169E">
        <w:rPr>
          <w:lang w:eastAsia="pt-BR"/>
        </w:rPr>
        <w:t xml:space="preserve">página </w:t>
      </w:r>
      <w:r w:rsidR="00825365">
        <w:rPr>
          <w:lang w:eastAsia="pt-BR"/>
        </w:rPr>
        <w:t>S</w:t>
      </w:r>
      <w:r w:rsidR="006C169E">
        <w:rPr>
          <w:lang w:eastAsia="pt-BR"/>
        </w:rPr>
        <w:t>imulação</w:t>
      </w:r>
      <w:r w:rsidR="00825365">
        <w:rPr>
          <w:lang w:eastAsia="pt-BR"/>
        </w:rPr>
        <w:t xml:space="preserve"> </w:t>
      </w:r>
      <w:r w:rsidR="006C169E">
        <w:rPr>
          <w:lang w:eastAsia="pt-BR"/>
        </w:rPr>
        <w:t xml:space="preserve">e fluxo de caixa apresenta a </w:t>
      </w:r>
      <w:r>
        <w:rPr>
          <w:lang w:eastAsia="pt-BR"/>
        </w:rPr>
        <w:t xml:space="preserve">simulação da produção e uso do hidrogênio verde como substituto </w:t>
      </w:r>
      <w:r w:rsidR="004C1832">
        <w:rPr>
          <w:lang w:eastAsia="pt-BR"/>
        </w:rPr>
        <w:t>parcial do combustível fóssil</w:t>
      </w:r>
      <w:r w:rsidR="006C169E">
        <w:rPr>
          <w:lang w:eastAsia="pt-BR"/>
        </w:rPr>
        <w:t xml:space="preserve"> ao longo de 20 anos</w:t>
      </w:r>
      <w:r w:rsidR="004C1832">
        <w:rPr>
          <w:lang w:eastAsia="pt-BR"/>
        </w:rPr>
        <w:t>.</w:t>
      </w:r>
      <w:r w:rsidR="006C169E">
        <w:rPr>
          <w:lang w:eastAsia="pt-BR"/>
        </w:rPr>
        <w:t xml:space="preserve"> </w:t>
      </w:r>
      <w:r w:rsidR="004C1832">
        <w:rPr>
          <w:lang w:eastAsia="pt-BR"/>
        </w:rPr>
        <w:t xml:space="preserve">Os </w:t>
      </w:r>
      <w:r w:rsidR="00E6733F">
        <w:rPr>
          <w:lang w:eastAsia="pt-BR"/>
        </w:rPr>
        <w:t>(</w:t>
      </w:r>
      <w:r w:rsidR="000F5B16">
        <w:rPr>
          <w:lang w:eastAsia="pt-BR"/>
        </w:rPr>
        <w:t>5.1</w:t>
      </w:r>
      <w:r w:rsidR="00E6733F">
        <w:rPr>
          <w:lang w:eastAsia="pt-BR"/>
        </w:rPr>
        <w:t xml:space="preserve">) </w:t>
      </w:r>
      <w:r w:rsidR="004C1832">
        <w:rPr>
          <w:lang w:eastAsia="pt-BR"/>
        </w:rPr>
        <w:t xml:space="preserve">fluxos físicos e o </w:t>
      </w:r>
      <w:r w:rsidR="00E6733F">
        <w:rPr>
          <w:lang w:eastAsia="pt-BR"/>
        </w:rPr>
        <w:t>(</w:t>
      </w:r>
      <w:r w:rsidR="000F5B16">
        <w:rPr>
          <w:lang w:eastAsia="pt-BR"/>
        </w:rPr>
        <w:t>5.2</w:t>
      </w:r>
      <w:r w:rsidR="00E6733F">
        <w:rPr>
          <w:lang w:eastAsia="pt-BR"/>
        </w:rPr>
        <w:t xml:space="preserve">) </w:t>
      </w:r>
      <w:r w:rsidR="004C1832">
        <w:rPr>
          <w:lang w:eastAsia="pt-BR"/>
        </w:rPr>
        <w:t xml:space="preserve">fluxo de caixa do projeto de substituição são </w:t>
      </w:r>
      <w:r w:rsidR="00825365">
        <w:rPr>
          <w:lang w:eastAsia="pt-BR"/>
        </w:rPr>
        <w:t>as</w:t>
      </w:r>
      <w:r w:rsidR="004C1832">
        <w:rPr>
          <w:lang w:eastAsia="pt-BR"/>
        </w:rPr>
        <w:t xml:space="preserve"> d</w:t>
      </w:r>
      <w:r w:rsidR="00825365">
        <w:rPr>
          <w:lang w:eastAsia="pt-BR"/>
        </w:rPr>
        <w:t>uas</w:t>
      </w:r>
      <w:r w:rsidR="004C1832">
        <w:rPr>
          <w:lang w:eastAsia="pt-BR"/>
        </w:rPr>
        <w:t xml:space="preserve"> grandes </w:t>
      </w:r>
      <w:r w:rsidR="00825365">
        <w:rPr>
          <w:lang w:eastAsia="pt-BR"/>
        </w:rPr>
        <w:t>seções q</w:t>
      </w:r>
      <w:r w:rsidR="004C1832">
        <w:rPr>
          <w:lang w:eastAsia="pt-BR"/>
        </w:rPr>
        <w:t>ue baseiam os indicativos da simulação.</w:t>
      </w:r>
    </w:p>
    <w:p w14:paraId="0628EE74" w14:textId="3DAE13D6" w:rsidR="006C169E" w:rsidRDefault="00E6733F" w:rsidP="00782F9D">
      <w:pPr>
        <w:pStyle w:val="Ttulo2"/>
      </w:pPr>
      <w:bookmarkStart w:id="26" w:name="_Toc144213652"/>
      <w:r>
        <w:t>F</w:t>
      </w:r>
      <w:r w:rsidR="006C169E">
        <w:t>luxos físicos</w:t>
      </w:r>
      <w:bookmarkEnd w:id="26"/>
    </w:p>
    <w:p w14:paraId="6A5F948A" w14:textId="722DA3E3" w:rsidR="00B60C72" w:rsidRPr="00B60C72" w:rsidRDefault="00B60C72" w:rsidP="00B60C72">
      <w:pPr>
        <w:rPr>
          <w:lang w:eastAsia="pt-BR"/>
        </w:rPr>
      </w:pPr>
      <w:r>
        <w:rPr>
          <w:lang w:eastAsia="pt-BR"/>
        </w:rPr>
        <w:t>Os fluxos físicos são apresentados em unidades de energia, massa, volume e tempo. Dentre os tópicos compreendidos estão o rastreamento da substituição da membrana na tecnologia PEM; a produção de gases; o cálculo de insumos evitados; a mitigação de emissões; e os insumos utilizados.</w:t>
      </w:r>
    </w:p>
    <w:p w14:paraId="15E64146" w14:textId="425CAEED" w:rsidR="000F5B16" w:rsidRDefault="00E6733F" w:rsidP="00B60C72">
      <w:pPr>
        <w:rPr>
          <w:lang w:eastAsia="pt-BR"/>
        </w:rPr>
      </w:pPr>
      <w:r>
        <w:rPr>
          <w:lang w:eastAsia="pt-BR"/>
        </w:rPr>
        <w:t xml:space="preserve">O </w:t>
      </w:r>
      <w:r w:rsidRPr="00944C95">
        <w:rPr>
          <w:b/>
          <w:bCs/>
          <w:lang w:eastAsia="pt-BR"/>
        </w:rPr>
        <w:t>rastreamento da substituição da membrana na tecnologia PEM</w:t>
      </w:r>
      <w:r>
        <w:rPr>
          <w:lang w:eastAsia="pt-BR"/>
        </w:rPr>
        <w:t xml:space="preserve"> tem o objetivo de indicar o ano em que a </w:t>
      </w:r>
      <w:r w:rsidR="006D3B7D">
        <w:rPr>
          <w:lang w:eastAsia="pt-BR"/>
        </w:rPr>
        <w:t>membrana de troca de prótons, fundamental para o funcionamento dos eletrolisadores PEM, deve ser substituída</w:t>
      </w:r>
      <w:r w:rsidR="000F5B16">
        <w:rPr>
          <w:lang w:eastAsia="pt-BR"/>
        </w:rPr>
        <w:t xml:space="preserve"> devido à sua degradação</w:t>
      </w:r>
      <w:r w:rsidR="006D3B7D">
        <w:rPr>
          <w:lang w:eastAsia="pt-BR"/>
        </w:rPr>
        <w:t xml:space="preserve">. Para isso, são contabilizadas as </w:t>
      </w:r>
      <w:r w:rsidR="006D3B7D" w:rsidRPr="006D3B7D">
        <w:rPr>
          <w:u w:val="single"/>
          <w:lang w:eastAsia="pt-BR"/>
        </w:rPr>
        <w:t>horas de uso do eletrolisador</w:t>
      </w:r>
      <w:r w:rsidR="006D3B7D">
        <w:rPr>
          <w:lang w:eastAsia="pt-BR"/>
        </w:rPr>
        <w:t xml:space="preserve"> a cada ano para que</w:t>
      </w:r>
      <w:r w:rsidR="000F5B16">
        <w:rPr>
          <w:lang w:eastAsia="pt-BR"/>
        </w:rPr>
        <w:t xml:space="preserve"> essas</w:t>
      </w:r>
      <w:r w:rsidR="006D3B7D">
        <w:rPr>
          <w:lang w:eastAsia="pt-BR"/>
        </w:rPr>
        <w:t xml:space="preserve"> sejam somadas e indicadas </w:t>
      </w:r>
      <w:r w:rsidR="00C33BB9">
        <w:rPr>
          <w:lang w:eastAsia="pt-BR"/>
        </w:rPr>
        <w:t>em</w:t>
      </w:r>
      <w:r w:rsidR="006D3B7D">
        <w:rPr>
          <w:lang w:eastAsia="pt-BR"/>
        </w:rPr>
        <w:t xml:space="preserve"> </w:t>
      </w:r>
      <w:r w:rsidR="006D3B7D" w:rsidRPr="006D3B7D">
        <w:rPr>
          <w:u w:val="single"/>
          <w:lang w:eastAsia="pt-BR"/>
        </w:rPr>
        <w:t>horas acumuladas</w:t>
      </w:r>
      <w:r w:rsidR="006D3B7D">
        <w:rPr>
          <w:lang w:eastAsia="pt-BR"/>
        </w:rPr>
        <w:t xml:space="preserve"> de uso do eletrolisador com uma mesma membrana. Ao atingir a periodicidade indicada na </w:t>
      </w:r>
      <w:r w:rsidR="006D3B7D">
        <w:rPr>
          <w:lang w:eastAsia="pt-BR"/>
        </w:rPr>
        <w:lastRenderedPageBreak/>
        <w:t>seção 4.6</w:t>
      </w:r>
      <w:r w:rsidR="000F5B16">
        <w:rPr>
          <w:lang w:eastAsia="pt-BR"/>
        </w:rPr>
        <w:t xml:space="preserve">, em custos de operação, o software </w:t>
      </w:r>
      <w:r w:rsidR="00B432DA">
        <w:rPr>
          <w:lang w:eastAsia="pt-BR"/>
        </w:rPr>
        <w:t xml:space="preserve">simula a </w:t>
      </w:r>
      <w:r w:rsidR="000F5B16">
        <w:rPr>
          <w:lang w:eastAsia="pt-BR"/>
        </w:rPr>
        <w:t>substitui</w:t>
      </w:r>
      <w:r w:rsidR="00B432DA">
        <w:rPr>
          <w:lang w:eastAsia="pt-BR"/>
        </w:rPr>
        <w:t>ção</w:t>
      </w:r>
      <w:r w:rsidR="000F5B16">
        <w:rPr>
          <w:lang w:eastAsia="pt-BR"/>
        </w:rPr>
        <w:t xml:space="preserve"> </w:t>
      </w:r>
      <w:r w:rsidR="00B432DA">
        <w:rPr>
          <w:lang w:eastAsia="pt-BR"/>
        </w:rPr>
        <w:t>d</w:t>
      </w:r>
      <w:r w:rsidR="000F5B16">
        <w:rPr>
          <w:lang w:eastAsia="pt-BR"/>
        </w:rPr>
        <w:t>a membrana para que o eletrolisador retome a sua eficiência original.</w:t>
      </w:r>
    </w:p>
    <w:p w14:paraId="029D4353" w14:textId="2EDA943D" w:rsidR="00750DF8" w:rsidRDefault="000F5B16" w:rsidP="00B60C72">
      <w:pPr>
        <w:rPr>
          <w:lang w:eastAsia="pt-BR"/>
        </w:rPr>
      </w:pPr>
      <w:r>
        <w:rPr>
          <w:lang w:eastAsia="pt-BR"/>
        </w:rPr>
        <w:t xml:space="preserve">A </w:t>
      </w:r>
      <w:r w:rsidRPr="00944C95">
        <w:rPr>
          <w:b/>
          <w:bCs/>
          <w:lang w:eastAsia="pt-BR"/>
        </w:rPr>
        <w:t>produção</w:t>
      </w:r>
      <w:r>
        <w:rPr>
          <w:lang w:eastAsia="pt-BR"/>
        </w:rPr>
        <w:t xml:space="preserve"> tem o objetivo de indicar anualmente as quantidades </w:t>
      </w:r>
      <w:r w:rsidR="00B432DA">
        <w:rPr>
          <w:lang w:eastAsia="pt-BR"/>
        </w:rPr>
        <w:t xml:space="preserve">produzidas </w:t>
      </w:r>
      <w:r>
        <w:rPr>
          <w:lang w:eastAsia="pt-BR"/>
        </w:rPr>
        <w:t xml:space="preserve">de hidrogênio, em toneladas, e a quantidade </w:t>
      </w:r>
      <w:r w:rsidR="00B432DA">
        <w:rPr>
          <w:lang w:eastAsia="pt-BR"/>
        </w:rPr>
        <w:t xml:space="preserve">oxigênio, em milhares de metros cúbicos. </w:t>
      </w:r>
      <w:r w:rsidR="00C33BB9">
        <w:rPr>
          <w:lang w:eastAsia="pt-BR"/>
        </w:rPr>
        <w:t>Caso haja degradação do eletrolisador, n</w:t>
      </w:r>
      <w:r w:rsidR="00B432DA">
        <w:rPr>
          <w:lang w:eastAsia="pt-BR"/>
        </w:rPr>
        <w:t>ota-se que a produção de</w:t>
      </w:r>
      <w:r w:rsidR="00C33BB9">
        <w:rPr>
          <w:lang w:eastAsia="pt-BR"/>
        </w:rPr>
        <w:t xml:space="preserve"> hidrogênio e oxigênio </w:t>
      </w:r>
      <w:r w:rsidR="00B432DA">
        <w:rPr>
          <w:lang w:eastAsia="pt-BR"/>
        </w:rPr>
        <w:t>não é constante ao longo dos anos</w:t>
      </w:r>
      <w:r w:rsidR="00C33BB9">
        <w:rPr>
          <w:lang w:eastAsia="pt-BR"/>
        </w:rPr>
        <w:t>.</w:t>
      </w:r>
    </w:p>
    <w:p w14:paraId="667DF7AE" w14:textId="63030E02" w:rsidR="002E7F16" w:rsidRDefault="00C33BB9" w:rsidP="00B60C72">
      <w:pPr>
        <w:rPr>
          <w:lang w:eastAsia="pt-BR"/>
        </w:rPr>
      </w:pPr>
      <w:r>
        <w:rPr>
          <w:lang w:eastAsia="pt-BR"/>
        </w:rPr>
        <w:t xml:space="preserve">O </w:t>
      </w:r>
      <w:r w:rsidRPr="00944C95">
        <w:rPr>
          <w:b/>
          <w:bCs/>
          <w:lang w:eastAsia="pt-BR"/>
        </w:rPr>
        <w:t>cálculo de insumos evitados</w:t>
      </w:r>
      <w:r>
        <w:rPr>
          <w:lang w:eastAsia="pt-BR"/>
        </w:rPr>
        <w:t xml:space="preserve"> </w:t>
      </w:r>
      <w:r w:rsidRPr="00C33BB9">
        <w:rPr>
          <w:lang w:eastAsia="pt-BR"/>
        </w:rPr>
        <w:t>tem</w:t>
      </w:r>
      <w:r>
        <w:rPr>
          <w:lang w:eastAsia="pt-BR"/>
        </w:rPr>
        <w:t xml:space="preserve"> o objetivo de apresentar a quantidade do insumo fóss</w:t>
      </w:r>
      <w:r w:rsidR="00CC5D9A">
        <w:rPr>
          <w:lang w:eastAsia="pt-BR"/>
        </w:rPr>
        <w:t>il</w:t>
      </w:r>
      <w:r>
        <w:rPr>
          <w:lang w:eastAsia="pt-BR"/>
        </w:rPr>
        <w:t xml:space="preserve"> deixado de ser consumido devido à utilização do hidrogênio como fonte de energia. Para basear</w:t>
      </w:r>
      <w:r w:rsidR="00944C95">
        <w:rPr>
          <w:lang w:eastAsia="pt-BR"/>
        </w:rPr>
        <w:t xml:space="preserve"> o cálculo, é apresentado o </w:t>
      </w:r>
      <w:r w:rsidR="00944C95" w:rsidRPr="00944C95">
        <w:rPr>
          <w:u w:val="single"/>
          <w:lang w:eastAsia="pt-BR"/>
        </w:rPr>
        <w:t>consumo corrente de combustível</w:t>
      </w:r>
      <w:r w:rsidR="00944C95">
        <w:rPr>
          <w:lang w:eastAsia="pt-BR"/>
        </w:rPr>
        <w:t xml:space="preserve"> fóssil</w:t>
      </w:r>
      <w:r w:rsidR="00CC5D9A">
        <w:rPr>
          <w:lang w:eastAsia="pt-BR"/>
        </w:rPr>
        <w:t>, ou seja, o consumo</w:t>
      </w:r>
      <w:r w:rsidR="009411E0">
        <w:rPr>
          <w:lang w:eastAsia="pt-BR"/>
        </w:rPr>
        <w:t xml:space="preserve"> atual de combustível fóssil indicado na seção 4.1</w:t>
      </w:r>
      <w:r w:rsidR="00FF33BE">
        <w:rPr>
          <w:lang w:eastAsia="pt-BR"/>
        </w:rPr>
        <w:t xml:space="preserve"> de diagnóstico e análise preliminar</w:t>
      </w:r>
      <w:r w:rsidR="009411E0">
        <w:rPr>
          <w:lang w:eastAsia="pt-BR"/>
        </w:rPr>
        <w:t xml:space="preserve">. </w:t>
      </w:r>
      <w:r w:rsidR="00FF33BE">
        <w:rPr>
          <w:lang w:eastAsia="pt-BR"/>
        </w:rPr>
        <w:t>Por sua vez, o</w:t>
      </w:r>
      <w:r w:rsidR="009411E0">
        <w:rPr>
          <w:lang w:eastAsia="pt-BR"/>
        </w:rPr>
        <w:t xml:space="preserve"> </w:t>
      </w:r>
      <w:r w:rsidR="00CC5D9A" w:rsidRPr="00CC5D9A">
        <w:rPr>
          <w:u w:val="single"/>
          <w:lang w:eastAsia="pt-BR"/>
        </w:rPr>
        <w:t xml:space="preserve">consumo de </w:t>
      </w:r>
      <w:r w:rsidR="00CC5D9A">
        <w:rPr>
          <w:u w:val="single"/>
          <w:lang w:eastAsia="pt-BR"/>
        </w:rPr>
        <w:t>combustível</w:t>
      </w:r>
      <w:r w:rsidR="00CC5D9A" w:rsidRPr="00CC5D9A">
        <w:rPr>
          <w:u w:val="single"/>
          <w:lang w:eastAsia="pt-BR"/>
        </w:rPr>
        <w:t xml:space="preserve"> sendo substituído por H</w:t>
      </w:r>
      <w:r w:rsidR="00CC5D9A" w:rsidRPr="00A33A89">
        <w:rPr>
          <w:u w:val="single"/>
          <w:vertAlign w:val="subscript"/>
          <w:lang w:eastAsia="pt-BR"/>
        </w:rPr>
        <w:t>2</w:t>
      </w:r>
      <w:r w:rsidR="00CC5D9A">
        <w:rPr>
          <w:lang w:eastAsia="pt-BR"/>
        </w:rPr>
        <w:t xml:space="preserve"> </w:t>
      </w:r>
      <w:r w:rsidR="009411E0">
        <w:rPr>
          <w:lang w:eastAsia="pt-BR"/>
        </w:rPr>
        <w:t xml:space="preserve">é a quantidade de combustível fóssil evitado </w:t>
      </w:r>
      <w:r w:rsidR="00653C10">
        <w:rPr>
          <w:lang w:eastAsia="pt-BR"/>
        </w:rPr>
        <w:t>devido a</w:t>
      </w:r>
      <w:r w:rsidR="009411E0">
        <w:rPr>
          <w:lang w:eastAsia="pt-BR"/>
        </w:rPr>
        <w:t xml:space="preserve"> introdução do hidrogênio como fonte de energia. </w:t>
      </w:r>
      <w:r w:rsidR="00FF33BE">
        <w:rPr>
          <w:lang w:eastAsia="pt-BR"/>
        </w:rPr>
        <w:t>Adicionalmente, o</w:t>
      </w:r>
      <w:r w:rsidR="009411E0">
        <w:rPr>
          <w:lang w:eastAsia="pt-BR"/>
        </w:rPr>
        <w:t xml:space="preserve"> </w:t>
      </w:r>
      <w:r w:rsidR="009411E0" w:rsidRPr="00CB3FAB">
        <w:rPr>
          <w:u w:val="single"/>
          <w:lang w:eastAsia="pt-BR"/>
        </w:rPr>
        <w:t xml:space="preserve">percentual de substituição </w:t>
      </w:r>
      <w:r w:rsidR="00CB3FAB" w:rsidRPr="00CB3FAB">
        <w:rPr>
          <w:u w:val="single"/>
          <w:lang w:eastAsia="pt-BR"/>
        </w:rPr>
        <w:t>de combustível por H</w:t>
      </w:r>
      <w:r w:rsidR="00CB3FAB" w:rsidRPr="00A33A89">
        <w:rPr>
          <w:u w:val="single"/>
          <w:vertAlign w:val="subscript"/>
          <w:lang w:eastAsia="pt-BR"/>
        </w:rPr>
        <w:t>2</w:t>
      </w:r>
      <w:r w:rsidR="00CB3FAB">
        <w:rPr>
          <w:lang w:eastAsia="pt-BR"/>
        </w:rPr>
        <w:t xml:space="preserve"> é a fração de energia do hidrogênio usado na operação industrial</w:t>
      </w:r>
      <w:r w:rsidR="00FF33BE">
        <w:rPr>
          <w:lang w:eastAsia="pt-BR"/>
        </w:rPr>
        <w:t xml:space="preserve"> e compreende todo o hidrogênio gerado pelo eletrolisador</w:t>
      </w:r>
      <w:r w:rsidR="00CB3FAB">
        <w:rPr>
          <w:lang w:eastAsia="pt-BR"/>
        </w:rPr>
        <w:t>.</w:t>
      </w:r>
      <w:r w:rsidR="002E6437">
        <w:rPr>
          <w:lang w:eastAsia="pt-BR"/>
        </w:rPr>
        <w:t xml:space="preserve"> Este valor pode ser variável com o tempo devido à degradação do eletrolisador, e serve como um acompanhamento de o quanto a configuração estabelecida de eletrolisadores está substituindo a fonte fóssil, segundo o diagnóstico preliminar.</w:t>
      </w:r>
      <w:r w:rsidR="00CB3FAB">
        <w:rPr>
          <w:lang w:eastAsia="pt-BR"/>
        </w:rPr>
        <w:t xml:space="preserve"> </w:t>
      </w:r>
      <w:r w:rsidR="00FF33BE">
        <w:rPr>
          <w:lang w:eastAsia="pt-BR"/>
        </w:rPr>
        <w:t>Por fim, o</w:t>
      </w:r>
      <w:r w:rsidR="00CB3FAB">
        <w:rPr>
          <w:lang w:eastAsia="pt-BR"/>
        </w:rPr>
        <w:t xml:space="preserve"> </w:t>
      </w:r>
      <w:r w:rsidR="00FF33BE" w:rsidRPr="00FF33BE">
        <w:rPr>
          <w:u w:val="single"/>
          <w:lang w:eastAsia="pt-BR"/>
        </w:rPr>
        <w:t>c</w:t>
      </w:r>
      <w:r w:rsidR="00CB3FAB" w:rsidRPr="00FF33BE">
        <w:rPr>
          <w:u w:val="single"/>
          <w:lang w:eastAsia="pt-BR"/>
        </w:rPr>
        <w:t xml:space="preserve">onsumo efetivo de </w:t>
      </w:r>
      <w:r w:rsidR="00FF33BE" w:rsidRPr="00FF33BE">
        <w:rPr>
          <w:u w:val="single"/>
          <w:lang w:eastAsia="pt-BR"/>
        </w:rPr>
        <w:t>combustível</w:t>
      </w:r>
      <w:r w:rsidR="00CB3FAB" w:rsidRPr="00FF33BE">
        <w:rPr>
          <w:u w:val="single"/>
          <w:lang w:eastAsia="pt-BR"/>
        </w:rPr>
        <w:t xml:space="preserve"> na aplicação final utilizando H</w:t>
      </w:r>
      <w:r w:rsidR="00CB3FAB" w:rsidRPr="00A33A89">
        <w:rPr>
          <w:u w:val="single"/>
          <w:vertAlign w:val="subscript"/>
          <w:lang w:eastAsia="pt-BR"/>
        </w:rPr>
        <w:t>2</w:t>
      </w:r>
      <w:r w:rsidR="00FF33BE">
        <w:rPr>
          <w:lang w:eastAsia="pt-BR"/>
        </w:rPr>
        <w:t xml:space="preserve"> apresenta </w:t>
      </w:r>
      <w:r w:rsidR="002E7F16">
        <w:rPr>
          <w:lang w:eastAsia="pt-BR"/>
        </w:rPr>
        <w:t>a quantidade de combustível fóssil sendo utilizado para complementar a energia do hidrogênio na operação industrial.</w:t>
      </w:r>
    </w:p>
    <w:p w14:paraId="19F05C01" w14:textId="6527C3EF" w:rsidR="005321AE" w:rsidRDefault="002E7F16" w:rsidP="00B60C72">
      <w:pPr>
        <w:rPr>
          <w:lang w:eastAsia="pt-BR"/>
        </w:rPr>
      </w:pPr>
      <w:r>
        <w:rPr>
          <w:lang w:eastAsia="pt-BR"/>
        </w:rPr>
        <w:t xml:space="preserve">A </w:t>
      </w:r>
      <w:r w:rsidRPr="002E7F16">
        <w:rPr>
          <w:b/>
          <w:bCs/>
          <w:lang w:eastAsia="pt-BR"/>
        </w:rPr>
        <w:t>mitigação de emissões</w:t>
      </w:r>
      <w:r>
        <w:rPr>
          <w:lang w:eastAsia="pt-BR"/>
        </w:rPr>
        <w:t xml:space="preserve"> tem o objetivo de apresentar a </w:t>
      </w:r>
      <w:r w:rsidR="00834380">
        <w:rPr>
          <w:u w:val="single"/>
          <w:lang w:eastAsia="pt-BR"/>
        </w:rPr>
        <w:t>e</w:t>
      </w:r>
      <w:r w:rsidR="00834380" w:rsidRPr="00834380">
        <w:rPr>
          <w:u w:val="single"/>
          <w:lang w:eastAsia="pt-BR"/>
        </w:rPr>
        <w:t xml:space="preserve">missão de 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>C</m:t>
        </m:r>
        <m:sSub>
          <m:sSubPr>
            <m:ctrlPr>
              <w:rPr>
                <w:rFonts w:ascii="Cambria Math" w:hAnsi="Cambria Math"/>
                <w:iCs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eq</m:t>
                </m:r>
              </m:sub>
            </m:sSub>
          </m:sub>
        </m:sSub>
      </m:oMath>
      <w:r w:rsidR="00834380" w:rsidRPr="0037492F">
        <w:rPr>
          <w:sz w:val="28"/>
          <w:szCs w:val="24"/>
          <w:u w:val="single"/>
          <w:lang w:eastAsia="pt-BR"/>
        </w:rPr>
        <w:t xml:space="preserve"> </w:t>
      </w:r>
      <w:r w:rsidR="00834380" w:rsidRPr="00834380">
        <w:rPr>
          <w:u w:val="single"/>
          <w:lang w:eastAsia="pt-BR"/>
        </w:rPr>
        <w:t>evitada</w:t>
      </w:r>
      <w:r w:rsidR="00834380" w:rsidRPr="00653C10">
        <w:rPr>
          <w:lang w:eastAsia="pt-BR"/>
        </w:rPr>
        <w:t xml:space="preserve"> no processo </w:t>
      </w:r>
      <w:r w:rsidR="00653C10" w:rsidRPr="00653C10">
        <w:rPr>
          <w:lang w:eastAsia="pt-BR"/>
        </w:rPr>
        <w:t>industrial devido a utilização de hidrogênio</w:t>
      </w:r>
      <w:r w:rsidR="005321AE">
        <w:rPr>
          <w:lang w:eastAsia="pt-BR"/>
        </w:rPr>
        <w:t>, sendo obtida a</w:t>
      </w:r>
      <w:r w:rsidR="00834380">
        <w:rPr>
          <w:lang w:eastAsia="pt-BR"/>
        </w:rPr>
        <w:t xml:space="preserve"> partir da </w:t>
      </w:r>
      <w:r w:rsidR="005321AE">
        <w:rPr>
          <w:lang w:eastAsia="pt-BR"/>
        </w:rPr>
        <w:t xml:space="preserve">relação entre a </w:t>
      </w:r>
      <w:r w:rsidR="00834380">
        <w:rPr>
          <w:lang w:eastAsia="pt-BR"/>
        </w:rPr>
        <w:t>quantidade de combustível fóssil evitado</w:t>
      </w:r>
      <w:r w:rsidR="005321AE">
        <w:rPr>
          <w:lang w:eastAsia="pt-BR"/>
        </w:rPr>
        <w:t xml:space="preserve"> e o fator de emissão do combustível fóssil.</w:t>
      </w:r>
    </w:p>
    <w:p w14:paraId="13F8797D" w14:textId="5DEF3C05" w:rsidR="005321AE" w:rsidRPr="008632EE" w:rsidRDefault="005321AE" w:rsidP="00B60C72">
      <w:pPr>
        <w:rPr>
          <w:lang w:eastAsia="pt-BR"/>
        </w:rPr>
      </w:pPr>
      <w:r>
        <w:rPr>
          <w:lang w:eastAsia="pt-BR"/>
        </w:rPr>
        <w:t xml:space="preserve">Os </w:t>
      </w:r>
      <w:r w:rsidRPr="005321AE">
        <w:rPr>
          <w:b/>
          <w:bCs/>
          <w:lang w:eastAsia="pt-BR"/>
        </w:rPr>
        <w:t>insumos utilizados</w:t>
      </w:r>
      <w:r>
        <w:rPr>
          <w:b/>
          <w:bCs/>
          <w:lang w:eastAsia="pt-BR"/>
        </w:rPr>
        <w:t xml:space="preserve"> </w:t>
      </w:r>
      <w:r w:rsidR="009F112A">
        <w:rPr>
          <w:lang w:eastAsia="pt-BR"/>
        </w:rPr>
        <w:t xml:space="preserve">abordam os elementos necessários para a produção de hidrogênio e </w:t>
      </w:r>
      <w:r>
        <w:rPr>
          <w:lang w:eastAsia="pt-BR"/>
        </w:rPr>
        <w:t xml:space="preserve">compreendem o </w:t>
      </w:r>
      <w:r w:rsidRPr="009F112A">
        <w:rPr>
          <w:u w:val="single"/>
          <w:lang w:eastAsia="pt-BR"/>
        </w:rPr>
        <w:t>c</w:t>
      </w:r>
      <w:r w:rsidRPr="008632EE">
        <w:rPr>
          <w:u w:val="single"/>
          <w:lang w:eastAsia="pt-BR"/>
        </w:rPr>
        <w:t>onsu</w:t>
      </w:r>
      <w:r w:rsidR="008632EE" w:rsidRPr="008632EE">
        <w:rPr>
          <w:u w:val="single"/>
          <w:lang w:eastAsia="pt-BR"/>
        </w:rPr>
        <w:t>mo de energia elétrica para a eletrólise</w:t>
      </w:r>
      <w:r w:rsidR="008632EE">
        <w:rPr>
          <w:lang w:eastAsia="pt-BR"/>
        </w:rPr>
        <w:t xml:space="preserve"> e o </w:t>
      </w:r>
      <w:r w:rsidR="008632EE" w:rsidRPr="008632EE">
        <w:rPr>
          <w:u w:val="single"/>
          <w:lang w:eastAsia="pt-BR"/>
        </w:rPr>
        <w:t>consumo de água para eletrólise</w:t>
      </w:r>
      <w:r w:rsidR="00172E7F">
        <w:rPr>
          <w:lang w:eastAsia="pt-BR"/>
        </w:rPr>
        <w:t>.</w:t>
      </w:r>
    </w:p>
    <w:p w14:paraId="345DFD2C" w14:textId="6BD612DC" w:rsidR="00E6733F" w:rsidRDefault="00E6733F" w:rsidP="00782F9D">
      <w:pPr>
        <w:pStyle w:val="Ttulo2"/>
      </w:pPr>
      <w:bookmarkStart w:id="27" w:name="_Toc144213653"/>
      <w:r>
        <w:t>Fluxo de caixa</w:t>
      </w:r>
      <w:bookmarkEnd w:id="27"/>
    </w:p>
    <w:p w14:paraId="02B7A38E" w14:textId="1053C7DD" w:rsidR="009F112A" w:rsidRDefault="009F112A" w:rsidP="00E729F9">
      <w:pPr>
        <w:rPr>
          <w:lang w:eastAsia="pt-BR"/>
        </w:rPr>
      </w:pPr>
      <w:r>
        <w:rPr>
          <w:lang w:eastAsia="pt-BR"/>
        </w:rPr>
        <w:t>O fluxo de caixa é apresentado em milhares de reais e é composto pelas receitas, custos e investimento.</w:t>
      </w:r>
    </w:p>
    <w:p w14:paraId="06BC60A3" w14:textId="00721BFD" w:rsidR="00933F0A" w:rsidRDefault="009F112A" w:rsidP="007E5111">
      <w:pPr>
        <w:rPr>
          <w:lang w:eastAsia="pt-BR"/>
        </w:rPr>
      </w:pPr>
      <w:r>
        <w:rPr>
          <w:lang w:eastAsia="pt-BR"/>
        </w:rPr>
        <w:lastRenderedPageBreak/>
        <w:t xml:space="preserve">As </w:t>
      </w:r>
      <w:r w:rsidRPr="009F112A">
        <w:rPr>
          <w:b/>
          <w:bCs/>
          <w:lang w:eastAsia="pt-BR"/>
        </w:rPr>
        <w:t>receitas</w:t>
      </w:r>
      <w:r>
        <w:rPr>
          <w:lang w:eastAsia="pt-BR"/>
        </w:rPr>
        <w:t xml:space="preserve"> </w:t>
      </w:r>
      <w:r w:rsidR="00E729F9">
        <w:rPr>
          <w:lang w:eastAsia="pt-BR"/>
        </w:rPr>
        <w:t xml:space="preserve">compreendem as contribuições positivas do fluxo de caixa. </w:t>
      </w:r>
      <w:r w:rsidR="009C0B92">
        <w:rPr>
          <w:lang w:eastAsia="pt-BR"/>
        </w:rPr>
        <w:t>Assim, a substituição do combustível fóssil por hidrogênio verde gera uma receita relacionada ao</w:t>
      </w:r>
      <w:r w:rsidR="00E729F9">
        <w:rPr>
          <w:lang w:eastAsia="pt-BR"/>
        </w:rPr>
        <w:t xml:space="preserve"> </w:t>
      </w:r>
      <w:r w:rsidR="00E729F9" w:rsidRPr="00E729F9">
        <w:rPr>
          <w:u w:val="single"/>
          <w:lang w:eastAsia="pt-BR"/>
        </w:rPr>
        <w:t xml:space="preserve">consumo evitado de </w:t>
      </w:r>
      <w:r w:rsidR="009C0B92">
        <w:rPr>
          <w:u w:val="single"/>
          <w:lang w:eastAsia="pt-BR"/>
        </w:rPr>
        <w:t>combustível fóssil</w:t>
      </w:r>
      <w:r w:rsidR="009C0B92">
        <w:rPr>
          <w:lang w:eastAsia="pt-BR"/>
        </w:rPr>
        <w:t xml:space="preserve">, uma vez que deixa de ser necessária a compra desse insumo. </w:t>
      </w:r>
      <w:r w:rsidR="00B80E9A">
        <w:rPr>
          <w:lang w:eastAsia="pt-BR"/>
        </w:rPr>
        <w:t>Por sua vez</w:t>
      </w:r>
      <w:r w:rsidR="009C0B92">
        <w:rPr>
          <w:lang w:eastAsia="pt-BR"/>
        </w:rPr>
        <w:t xml:space="preserve">, </w:t>
      </w:r>
      <w:r w:rsidR="002E6437">
        <w:rPr>
          <w:lang w:eastAsia="pt-BR"/>
        </w:rPr>
        <w:t>o</w:t>
      </w:r>
      <w:r w:rsidR="009C0B92">
        <w:rPr>
          <w:lang w:eastAsia="pt-BR"/>
        </w:rPr>
        <w:t xml:space="preserve"> </w:t>
      </w:r>
      <w:r w:rsidR="009C0B92" w:rsidRPr="009C0B92">
        <w:rPr>
          <w:u w:val="single"/>
          <w:lang w:eastAsia="pt-BR"/>
        </w:rPr>
        <w:t>oxigênio</w:t>
      </w:r>
      <w:r w:rsidR="009C0B92">
        <w:rPr>
          <w:lang w:eastAsia="pt-BR"/>
        </w:rPr>
        <w:t xml:space="preserve"> </w:t>
      </w:r>
      <w:r w:rsidR="002E6437">
        <w:rPr>
          <w:lang w:eastAsia="pt-BR"/>
        </w:rPr>
        <w:t>demonstra a receita oriunda do valor atribuído a este coproduto da eletrólise</w:t>
      </w:r>
      <w:r w:rsidR="009C0B92">
        <w:rPr>
          <w:lang w:eastAsia="pt-BR"/>
        </w:rPr>
        <w:t xml:space="preserve">. </w:t>
      </w:r>
      <w:r w:rsidR="002E6437">
        <w:rPr>
          <w:lang w:eastAsia="pt-BR"/>
        </w:rPr>
        <w:t>Os</w:t>
      </w:r>
      <w:r w:rsidR="009C0B92">
        <w:rPr>
          <w:lang w:eastAsia="pt-BR"/>
        </w:rPr>
        <w:t xml:space="preserve"> </w:t>
      </w:r>
      <w:r w:rsidR="009C0B92" w:rsidRPr="009C0B92">
        <w:rPr>
          <w:u w:val="single"/>
          <w:lang w:eastAsia="pt-BR"/>
        </w:rPr>
        <w:t>créditos de carbono</w:t>
      </w:r>
      <w:r w:rsidR="009C0B92">
        <w:rPr>
          <w:lang w:eastAsia="pt-BR"/>
        </w:rPr>
        <w:t xml:space="preserve"> incidentes sobre a mitigação de emissões de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eq</m:t>
                </m:r>
              </m:sub>
            </m:sSub>
          </m:sub>
        </m:sSub>
      </m:oMath>
      <w:r w:rsidR="009C0B92">
        <w:rPr>
          <w:lang w:eastAsia="pt-BR"/>
        </w:rPr>
        <w:t xml:space="preserve"> apresentam-se como </w:t>
      </w:r>
      <w:r w:rsidR="002E6437">
        <w:rPr>
          <w:lang w:eastAsia="pt-BR"/>
        </w:rPr>
        <w:t xml:space="preserve">uma </w:t>
      </w:r>
      <w:r w:rsidR="009C0B92">
        <w:rPr>
          <w:lang w:eastAsia="pt-BR"/>
        </w:rPr>
        <w:t xml:space="preserve">receita no projeto que visa descarbonização. Por fim, o eletrolisador ao final do período considerado pelo projeto possui </w:t>
      </w:r>
      <w:r w:rsidR="009C0B92" w:rsidRPr="007E5111">
        <w:rPr>
          <w:u w:val="single"/>
          <w:lang w:eastAsia="pt-BR"/>
        </w:rPr>
        <w:t>valor residual</w:t>
      </w:r>
      <w:r w:rsidR="009C0B92">
        <w:rPr>
          <w:lang w:eastAsia="pt-BR"/>
        </w:rPr>
        <w:t xml:space="preserve"> </w:t>
      </w:r>
      <w:r w:rsidR="002E6437">
        <w:rPr>
          <w:lang w:eastAsia="pt-BR"/>
        </w:rPr>
        <w:t>a ser recuperado</w:t>
      </w:r>
      <w:r w:rsidR="00396B91">
        <w:rPr>
          <w:lang w:eastAsia="pt-BR"/>
        </w:rPr>
        <w:t xml:space="preserve"> </w:t>
      </w:r>
      <w:r w:rsidR="002E6437">
        <w:rPr>
          <w:lang w:eastAsia="pt-BR"/>
        </w:rPr>
        <w:t>como</w:t>
      </w:r>
      <w:r w:rsidR="009C0B92">
        <w:rPr>
          <w:lang w:eastAsia="pt-BR"/>
        </w:rPr>
        <w:t xml:space="preserve"> receita do projeto. </w:t>
      </w:r>
    </w:p>
    <w:p w14:paraId="4C6DA846" w14:textId="34A87228" w:rsidR="00EA0479" w:rsidRDefault="007E5111" w:rsidP="00FC2616">
      <w:pPr>
        <w:rPr>
          <w:lang w:eastAsia="pt-BR"/>
        </w:rPr>
      </w:pPr>
      <w:r>
        <w:rPr>
          <w:lang w:eastAsia="pt-BR"/>
        </w:rPr>
        <w:t xml:space="preserve">Os </w:t>
      </w:r>
      <w:r w:rsidRPr="007E5111">
        <w:rPr>
          <w:b/>
          <w:bCs/>
          <w:lang w:eastAsia="pt-BR"/>
        </w:rPr>
        <w:t>custos</w:t>
      </w:r>
      <w:r>
        <w:rPr>
          <w:lang w:eastAsia="pt-BR"/>
        </w:rPr>
        <w:t xml:space="preserve"> compreendem as contribuições negativas do fluxo de caixa. </w:t>
      </w:r>
      <w:r w:rsidR="00D808E5">
        <w:rPr>
          <w:lang w:eastAsia="pt-BR"/>
        </w:rPr>
        <w:t>Como insumo energético principal,</w:t>
      </w:r>
      <w:r>
        <w:rPr>
          <w:lang w:eastAsia="pt-BR"/>
        </w:rPr>
        <w:t xml:space="preserve"> a </w:t>
      </w:r>
      <w:r w:rsidRPr="00D808E5">
        <w:rPr>
          <w:u w:val="single"/>
          <w:lang w:eastAsia="pt-BR"/>
        </w:rPr>
        <w:t>energia elétrica adquirida para uso no eletrolisador</w:t>
      </w:r>
      <w:r>
        <w:rPr>
          <w:lang w:eastAsia="pt-BR"/>
        </w:rPr>
        <w:t xml:space="preserve"> é considerada como uma grande fonte de custo para a operação </w:t>
      </w:r>
      <w:r w:rsidR="00D808E5">
        <w:rPr>
          <w:lang w:eastAsia="pt-BR"/>
        </w:rPr>
        <w:t>planta de geração</w:t>
      </w:r>
      <w:r>
        <w:rPr>
          <w:lang w:eastAsia="pt-BR"/>
        </w:rPr>
        <w:t xml:space="preserve"> de hidrogênio verde</w:t>
      </w:r>
      <w:r w:rsidR="00D808E5">
        <w:rPr>
          <w:lang w:eastAsia="pt-BR"/>
        </w:rPr>
        <w:t>. Como insumo relacionado à matéria</w:t>
      </w:r>
      <w:r w:rsidR="002E6437">
        <w:rPr>
          <w:lang w:eastAsia="pt-BR"/>
        </w:rPr>
        <w:t>-</w:t>
      </w:r>
      <w:r w:rsidR="00D808E5">
        <w:rPr>
          <w:lang w:eastAsia="pt-BR"/>
        </w:rPr>
        <w:t xml:space="preserve">prima para produção do hidrogênio verde, o custo da </w:t>
      </w:r>
      <w:r w:rsidR="00D808E5" w:rsidRPr="00D808E5">
        <w:rPr>
          <w:u w:val="single"/>
          <w:lang w:eastAsia="pt-BR"/>
        </w:rPr>
        <w:t>água</w:t>
      </w:r>
      <w:r w:rsidR="00D808E5">
        <w:rPr>
          <w:lang w:eastAsia="pt-BR"/>
        </w:rPr>
        <w:t xml:space="preserve"> envolve sua obtenção e tratamento, sendo necessária sua inclusão no fluxo de caixa. Por sua vez, a </w:t>
      </w:r>
      <w:r w:rsidR="00D808E5" w:rsidRPr="00D808E5">
        <w:rPr>
          <w:u w:val="single"/>
          <w:lang w:eastAsia="pt-BR"/>
        </w:rPr>
        <w:t>operação e manutenção do eletrolisador</w:t>
      </w:r>
      <w:r w:rsidR="00D808E5">
        <w:rPr>
          <w:lang w:eastAsia="pt-BR"/>
        </w:rPr>
        <w:t xml:space="preserve"> também apresenta custos consideráveis. Caso o eletrolisador seja de tecnologia PEM, </w:t>
      </w:r>
      <w:r w:rsidR="00CD16DA">
        <w:rPr>
          <w:lang w:eastAsia="pt-BR"/>
        </w:rPr>
        <w:t xml:space="preserve">a </w:t>
      </w:r>
      <w:r w:rsidR="00CD16DA" w:rsidRPr="00CD16DA">
        <w:rPr>
          <w:u w:val="single"/>
          <w:lang w:eastAsia="pt-BR"/>
        </w:rPr>
        <w:t>troca da membrana</w:t>
      </w:r>
      <w:r w:rsidR="00CD16DA">
        <w:rPr>
          <w:lang w:eastAsia="pt-BR"/>
        </w:rPr>
        <w:t xml:space="preserve"> também é um custo considerável. Por fim, </w:t>
      </w:r>
      <w:r w:rsidR="00CD16DA" w:rsidRPr="00CD16DA">
        <w:rPr>
          <w:u w:val="single"/>
          <w:lang w:eastAsia="pt-BR"/>
        </w:rPr>
        <w:t>outros custos</w:t>
      </w:r>
      <w:r w:rsidR="00CD16DA">
        <w:rPr>
          <w:lang w:eastAsia="pt-BR"/>
        </w:rPr>
        <w:t xml:space="preserve"> também são considerados</w:t>
      </w:r>
      <w:r w:rsidR="006D74A7">
        <w:rPr>
          <w:lang w:eastAsia="pt-BR"/>
        </w:rPr>
        <w:t>, para que o usuário tenha a possibilidade de inserir valores não previstos na modelagem genérica, consistindo-se em um espaço para se customizar o fluxo de caixa</w:t>
      </w:r>
      <w:r w:rsidR="00CD16DA">
        <w:rPr>
          <w:lang w:eastAsia="pt-BR"/>
        </w:rPr>
        <w:t>.</w:t>
      </w:r>
    </w:p>
    <w:p w14:paraId="42CC7AF3" w14:textId="1F86F7DF" w:rsidR="00AA5BF2" w:rsidRDefault="00AA5BF2" w:rsidP="00FC2616">
      <w:pPr>
        <w:rPr>
          <w:lang w:eastAsia="pt-BR"/>
        </w:rPr>
      </w:pPr>
      <w:r>
        <w:rPr>
          <w:lang w:eastAsia="pt-BR"/>
        </w:rPr>
        <w:t xml:space="preserve">O </w:t>
      </w:r>
      <w:r w:rsidRPr="00AA5BF2">
        <w:rPr>
          <w:b/>
          <w:bCs/>
          <w:lang w:eastAsia="pt-BR"/>
        </w:rPr>
        <w:t>investimento</w:t>
      </w:r>
      <w:r>
        <w:rPr>
          <w:lang w:eastAsia="pt-BR"/>
        </w:rPr>
        <w:t xml:space="preserve"> pode ser distribuído ao longo de 5 anos e compreende, de forma central, o </w:t>
      </w:r>
      <w:r w:rsidRPr="00AA5BF2">
        <w:rPr>
          <w:u w:val="single"/>
          <w:lang w:eastAsia="pt-BR"/>
        </w:rPr>
        <w:t>CAPEX relacionado ao eletrolisador</w:t>
      </w:r>
      <w:r>
        <w:rPr>
          <w:lang w:eastAsia="pt-BR"/>
        </w:rPr>
        <w:t xml:space="preserve">. Para distribuir o investimento ao longo dos anos, basta inserir </w:t>
      </w:r>
      <w:r w:rsidR="007D02CA">
        <w:rPr>
          <w:lang w:eastAsia="pt-BR"/>
        </w:rPr>
        <w:t xml:space="preserve">o percentual do investimento total em cada ano. </w:t>
      </w:r>
    </w:p>
    <w:p w14:paraId="014B6639" w14:textId="23C09A86" w:rsidR="007D02CA" w:rsidRDefault="007D02CA" w:rsidP="00FC2616">
      <w:pPr>
        <w:rPr>
          <w:u w:val="single"/>
          <w:lang w:eastAsia="pt-BR"/>
        </w:rPr>
      </w:pPr>
      <w:r>
        <w:rPr>
          <w:lang w:eastAsia="pt-BR"/>
        </w:rPr>
        <w:t xml:space="preserve">Por fim, o </w:t>
      </w:r>
      <w:r w:rsidRPr="007D02CA">
        <w:rPr>
          <w:b/>
          <w:bCs/>
          <w:lang w:eastAsia="pt-BR"/>
        </w:rPr>
        <w:t>fluxo de caixa</w:t>
      </w:r>
      <w:r>
        <w:rPr>
          <w:lang w:eastAsia="pt-BR"/>
        </w:rPr>
        <w:t xml:space="preserve"> é apresentado na forma de </w:t>
      </w:r>
      <w:r w:rsidRPr="007D02CA">
        <w:rPr>
          <w:u w:val="single"/>
          <w:lang w:eastAsia="pt-BR"/>
        </w:rPr>
        <w:t>fluxo de caixa</w:t>
      </w:r>
      <w:r>
        <w:rPr>
          <w:lang w:eastAsia="pt-BR"/>
        </w:rPr>
        <w:t xml:space="preserve"> anual e </w:t>
      </w:r>
      <w:r w:rsidRPr="007D02CA">
        <w:rPr>
          <w:u w:val="single"/>
          <w:lang w:eastAsia="pt-BR"/>
        </w:rPr>
        <w:t>fluxo de caixa acumulado</w:t>
      </w:r>
      <w:r w:rsidR="004A4F69">
        <w:rPr>
          <w:u w:val="single"/>
          <w:lang w:eastAsia="pt-BR"/>
        </w:rPr>
        <w:t>.</w:t>
      </w:r>
    </w:p>
    <w:p w14:paraId="7DE11ED6" w14:textId="14A64430" w:rsidR="004A4F69" w:rsidRDefault="004A4F69" w:rsidP="00063D58">
      <w:pPr>
        <w:pStyle w:val="Ttulo1"/>
      </w:pPr>
      <w:bookmarkStart w:id="28" w:name="_Toc144213654"/>
      <w:r>
        <w:t>Resultados</w:t>
      </w:r>
      <w:bookmarkEnd w:id="28"/>
      <w:r>
        <w:t xml:space="preserve"> </w:t>
      </w:r>
    </w:p>
    <w:p w14:paraId="1FFDA53E" w14:textId="2E46CBD5" w:rsidR="004A4F69" w:rsidRDefault="004A4F69" w:rsidP="004A4F69">
      <w:pPr>
        <w:rPr>
          <w:lang w:eastAsia="pt-BR"/>
        </w:rPr>
      </w:pPr>
      <w:r>
        <w:rPr>
          <w:lang w:eastAsia="pt-BR"/>
        </w:rPr>
        <w:t xml:space="preserve">Os resultados são compostos por indicativos econômicos e por um gráfico que apresenta o fluxo de caixa anual e o fluxo de caixa acumulado ao longo de 20 anos. </w:t>
      </w:r>
      <w:r w:rsidR="00736316">
        <w:rPr>
          <w:lang w:eastAsia="pt-BR"/>
        </w:rPr>
        <w:t>É possível visualizar os resultados com ou sem a consideração do CAPEX do eletrolisador na simulação, a depender da ativação da chave desta opção localizada na linha 5.</w:t>
      </w:r>
    </w:p>
    <w:p w14:paraId="2517BD9E" w14:textId="77777777" w:rsidR="006A4DF7" w:rsidRDefault="000524B2" w:rsidP="004A4F69">
      <w:pPr>
        <w:rPr>
          <w:lang w:eastAsia="pt-BR"/>
        </w:rPr>
      </w:pPr>
      <w:r>
        <w:rPr>
          <w:lang w:eastAsia="pt-BR"/>
        </w:rPr>
        <w:lastRenderedPageBreak/>
        <w:t xml:space="preserve">O </w:t>
      </w:r>
      <w:r w:rsidRPr="000524B2">
        <w:rPr>
          <w:b/>
          <w:bCs/>
          <w:lang w:eastAsia="pt-BR"/>
        </w:rPr>
        <w:t>valor presente líquido</w:t>
      </w:r>
      <w:r>
        <w:rPr>
          <w:lang w:eastAsia="pt-BR"/>
        </w:rPr>
        <w:t xml:space="preserve"> (VPL) do projeto de geração e uso do hidrogênio verde </w:t>
      </w:r>
      <w:r w:rsidR="005549FF">
        <w:rPr>
          <w:lang w:eastAsia="pt-BR"/>
        </w:rPr>
        <w:t xml:space="preserve">em substituição à fonte fóssil </w:t>
      </w:r>
      <w:r>
        <w:rPr>
          <w:lang w:eastAsia="pt-BR"/>
        </w:rPr>
        <w:t xml:space="preserve">é apresentado em milhões de reais. </w:t>
      </w:r>
    </w:p>
    <w:p w14:paraId="3334579C" w14:textId="3912595C" w:rsidR="006A4DF7" w:rsidRDefault="006A4DF7" w:rsidP="006A4DF7">
      <w:pPr>
        <w:rPr>
          <w:lang w:eastAsia="pt-BR"/>
        </w:rPr>
      </w:pPr>
      <w:r>
        <w:rPr>
          <w:lang w:eastAsia="pt-BR"/>
        </w:rPr>
        <w:t xml:space="preserve">Por sua vez, o </w:t>
      </w:r>
      <w:r w:rsidRPr="000524B2">
        <w:rPr>
          <w:b/>
          <w:bCs/>
          <w:lang w:eastAsia="pt-BR"/>
        </w:rPr>
        <w:t>período de payback</w:t>
      </w:r>
      <w:r>
        <w:rPr>
          <w:lang w:eastAsia="pt-BR"/>
        </w:rPr>
        <w:t xml:space="preserve"> é apresentado em anos. </w:t>
      </w:r>
    </w:p>
    <w:p w14:paraId="73143472" w14:textId="297A9ADE" w:rsidR="006A4DF7" w:rsidRDefault="00D406AD" w:rsidP="004A4F69">
      <w:pPr>
        <w:rPr>
          <w:lang w:eastAsia="pt-BR"/>
        </w:rPr>
      </w:pPr>
      <w:r>
        <w:rPr>
          <w:lang w:eastAsia="pt-BR"/>
        </w:rPr>
        <w:t>Caso o projeto seja viável economicamente, a</w:t>
      </w:r>
      <w:r w:rsidR="000524B2">
        <w:rPr>
          <w:lang w:eastAsia="pt-BR"/>
        </w:rPr>
        <w:t xml:space="preserve"> </w:t>
      </w:r>
      <w:r w:rsidR="000524B2" w:rsidRPr="000524B2">
        <w:rPr>
          <w:b/>
          <w:bCs/>
          <w:lang w:eastAsia="pt-BR"/>
        </w:rPr>
        <w:t>taxa interna de retorno</w:t>
      </w:r>
      <w:r w:rsidR="000524B2">
        <w:rPr>
          <w:lang w:eastAsia="pt-BR"/>
        </w:rPr>
        <w:t xml:space="preserve"> (TIR) do projeto é apresentada e, caso </w:t>
      </w:r>
      <w:r>
        <w:rPr>
          <w:lang w:eastAsia="pt-BR"/>
        </w:rPr>
        <w:t>contrário</w:t>
      </w:r>
      <w:r w:rsidR="000524B2">
        <w:rPr>
          <w:lang w:eastAsia="pt-BR"/>
        </w:rPr>
        <w:t xml:space="preserve">, é exibida uma </w:t>
      </w:r>
      <w:r w:rsidR="006A4DF7">
        <w:rPr>
          <w:lang w:eastAsia="pt-BR"/>
        </w:rPr>
        <w:t xml:space="preserve">taxa negativa junto à </w:t>
      </w:r>
      <w:r w:rsidR="000524B2">
        <w:rPr>
          <w:lang w:eastAsia="pt-BR"/>
        </w:rPr>
        <w:t xml:space="preserve">mensagem </w:t>
      </w:r>
      <w:r w:rsidR="006A4DF7">
        <w:rPr>
          <w:lang w:eastAsia="pt-BR"/>
        </w:rPr>
        <w:t xml:space="preserve">indicando que o projeto é inviável em qualquer cenário. </w:t>
      </w:r>
    </w:p>
    <w:p w14:paraId="3E582F3A" w14:textId="24683419" w:rsidR="006A4DF7" w:rsidRDefault="006A4DF7" w:rsidP="004A4F69">
      <w:pPr>
        <w:rPr>
          <w:lang w:eastAsia="pt-BR"/>
        </w:rPr>
      </w:pPr>
      <w:r>
        <w:rPr>
          <w:lang w:eastAsia="pt-BR"/>
        </w:rPr>
        <w:t xml:space="preserve">A </w:t>
      </w:r>
      <w:r w:rsidRPr="00A33A89">
        <w:rPr>
          <w:b/>
          <w:bCs/>
          <w:lang w:eastAsia="pt-BR"/>
        </w:rPr>
        <w:t>composição de valores no custo nivelado de hidrogênio produzido</w:t>
      </w:r>
      <w:r>
        <w:rPr>
          <w:lang w:eastAsia="pt-BR"/>
        </w:rPr>
        <w:t xml:space="preserve"> (LCOH) apresenta os custos d</w:t>
      </w:r>
      <w:r w:rsidR="000D7488">
        <w:rPr>
          <w:lang w:eastAsia="pt-BR"/>
        </w:rPr>
        <w:t xml:space="preserve">e: investimento no eletrolisador; operação, manutenção e troca de membrana; água; e eletricidade para cada quilograma de hidrogênio produzido. Com isso, tem-se o </w:t>
      </w:r>
      <w:r w:rsidR="000D7488" w:rsidRPr="00A33A89">
        <w:rPr>
          <w:lang w:eastAsia="pt-BR"/>
        </w:rPr>
        <w:t>custo nivelado de hidrogênio produzido</w:t>
      </w:r>
      <w:r w:rsidR="000D7488" w:rsidRPr="000D7488">
        <w:rPr>
          <w:lang w:eastAsia="pt-BR"/>
        </w:rPr>
        <w:t xml:space="preserve"> </w:t>
      </w:r>
      <w:r w:rsidR="000D7488">
        <w:rPr>
          <w:lang w:eastAsia="pt-BR"/>
        </w:rPr>
        <w:t xml:space="preserve">(LCOH), dado em custo por quilograma. Em seguida, são consideradas as receitas do oxigênio, dióxido de carbono e valor residual do eletrolisador para compor o custo nivelado final de hidrogênio produzido. </w:t>
      </w:r>
    </w:p>
    <w:p w14:paraId="693355E9" w14:textId="5E6A8F8F" w:rsidR="006A4DF7" w:rsidRDefault="006A4DF7" w:rsidP="004A4F69">
      <w:pPr>
        <w:rPr>
          <w:lang w:eastAsia="pt-BR"/>
        </w:rPr>
      </w:pPr>
      <w:r>
        <w:rPr>
          <w:lang w:eastAsia="pt-BR"/>
        </w:rPr>
        <w:t xml:space="preserve">As </w:t>
      </w:r>
      <w:r w:rsidRPr="00A33A89">
        <w:rPr>
          <w:b/>
          <w:bCs/>
          <w:lang w:eastAsia="pt-BR"/>
        </w:rPr>
        <w:t>emissões evitadas de CO</w:t>
      </w:r>
      <w:r w:rsidRPr="00A33A89">
        <w:rPr>
          <w:b/>
          <w:bCs/>
          <w:vertAlign w:val="subscript"/>
          <w:lang w:eastAsia="pt-BR"/>
        </w:rPr>
        <w:t>2</w:t>
      </w:r>
      <w:r>
        <w:rPr>
          <w:lang w:eastAsia="pt-BR"/>
        </w:rPr>
        <w:t xml:space="preserve"> são exibidas em toneladas de CO</w:t>
      </w:r>
      <w:r>
        <w:rPr>
          <w:vertAlign w:val="subscript"/>
          <w:lang w:eastAsia="pt-BR"/>
        </w:rPr>
        <w:t>2eq</w:t>
      </w:r>
      <w:r>
        <w:rPr>
          <w:lang w:eastAsia="pt-BR"/>
        </w:rPr>
        <w:t xml:space="preserve"> por ano</w:t>
      </w:r>
      <w:r w:rsidR="000D7488">
        <w:rPr>
          <w:lang w:eastAsia="pt-BR"/>
        </w:rPr>
        <w:t xml:space="preserve"> e são calculadas através da média anual das emissões evitadas.</w:t>
      </w:r>
    </w:p>
    <w:p w14:paraId="54854AF0" w14:textId="6E79923F" w:rsidR="000524B2" w:rsidRDefault="000D7488" w:rsidP="004A4F69">
      <w:pPr>
        <w:rPr>
          <w:lang w:eastAsia="pt-BR"/>
        </w:rPr>
      </w:pPr>
      <w:r>
        <w:rPr>
          <w:lang w:eastAsia="pt-BR"/>
        </w:rPr>
        <w:t xml:space="preserve">Por fim, é apresentado o </w:t>
      </w:r>
      <w:r w:rsidRPr="00A33A89">
        <w:rPr>
          <w:b/>
          <w:bCs/>
          <w:lang w:eastAsia="pt-BR"/>
        </w:rPr>
        <w:t>custo de competitividade da fonte fóssil</w:t>
      </w:r>
      <w:r>
        <w:rPr>
          <w:lang w:eastAsia="pt-BR"/>
        </w:rPr>
        <w:t>, como sendo o p</w:t>
      </w:r>
      <w:r w:rsidRPr="000D7488">
        <w:rPr>
          <w:lang w:eastAsia="pt-BR"/>
        </w:rPr>
        <w:t>reço da fonte fóssil abaixo do qual o</w:t>
      </w:r>
      <w:r w:rsidR="00763835">
        <w:rPr>
          <w:lang w:eastAsia="pt-BR"/>
        </w:rPr>
        <w:t xml:space="preserve"> hidrogênio</w:t>
      </w:r>
      <w:r w:rsidRPr="000D7488">
        <w:rPr>
          <w:lang w:eastAsia="pt-BR"/>
        </w:rPr>
        <w:t xml:space="preserve"> é promissor</w:t>
      </w:r>
      <w:r w:rsidR="00763835">
        <w:rPr>
          <w:lang w:eastAsia="pt-BR"/>
        </w:rPr>
        <w:t xml:space="preserve">. Ou seja, caso o combustível fóssil fosse comprado por um valor igual ou maior do que o mostrado no custo de competitividade da fonte fóssil, o projeto de geração e uso do hidrogênio </w:t>
      </w:r>
      <w:r w:rsidR="00214E32">
        <w:rPr>
          <w:lang w:eastAsia="pt-BR"/>
        </w:rPr>
        <w:t>verde é promissor.</w:t>
      </w:r>
    </w:p>
    <w:p w14:paraId="0B6D344E" w14:textId="48EC7E3C" w:rsidR="00063D58" w:rsidRPr="00063D58" w:rsidRDefault="00751E89" w:rsidP="00063D58">
      <w:pPr>
        <w:rPr>
          <w:lang w:eastAsia="pt-BR"/>
        </w:rPr>
      </w:pPr>
      <w:r>
        <w:rPr>
          <w:lang w:eastAsia="pt-BR"/>
        </w:rPr>
        <w:t xml:space="preserve">O </w:t>
      </w:r>
      <w:r w:rsidRPr="00A33A89">
        <w:rPr>
          <w:b/>
          <w:bCs/>
          <w:lang w:eastAsia="pt-BR"/>
        </w:rPr>
        <w:t>fluxo de caixa previsto</w:t>
      </w:r>
      <w:r>
        <w:rPr>
          <w:lang w:eastAsia="pt-BR"/>
        </w:rPr>
        <w:t xml:space="preserve"> é apresentado com o objetivo </w:t>
      </w:r>
      <w:r w:rsidR="00FA4BA9">
        <w:rPr>
          <w:lang w:eastAsia="pt-BR"/>
        </w:rPr>
        <w:t>de o usuário visualizar a metodologia de obtenção do resultado, além de viabilizar a construção gráfica que a página apresenta.</w:t>
      </w:r>
    </w:p>
    <w:p w14:paraId="152AE7CB" w14:textId="09605563" w:rsidR="00806764" w:rsidRPr="00063D58" w:rsidRDefault="00063D58" w:rsidP="00A33A89">
      <w:pPr>
        <w:pStyle w:val="Ttulo1"/>
      </w:pPr>
      <w:bookmarkStart w:id="29" w:name="_Toc144210886"/>
      <w:bookmarkStart w:id="30" w:name="_Toc144210940"/>
      <w:bookmarkStart w:id="31" w:name="_Toc144213388"/>
      <w:bookmarkStart w:id="32" w:name="_Toc144213655"/>
      <w:bookmarkEnd w:id="29"/>
      <w:bookmarkEnd w:id="30"/>
      <w:bookmarkEnd w:id="31"/>
      <w:r>
        <w:t>Análise de sensibilidade</w:t>
      </w:r>
      <w:bookmarkEnd w:id="32"/>
    </w:p>
    <w:p w14:paraId="3699610F" w14:textId="402891D5" w:rsidR="00806764" w:rsidRDefault="00806764" w:rsidP="00806764">
      <w:pPr>
        <w:rPr>
          <w:lang w:eastAsia="pt-BR"/>
        </w:rPr>
      </w:pPr>
      <w:r>
        <w:rPr>
          <w:lang w:eastAsia="pt-BR"/>
        </w:rPr>
        <w:t xml:space="preserve">A análise de sensibilidade tem o objetivo de apresentar ao usuário os possíveis cenários onde o Valor Presente Líquido (VPL) do projeto de geração e uso do hidrogênio verde se torna positivo. Para </w:t>
      </w:r>
      <w:r w:rsidR="00545AB5">
        <w:rPr>
          <w:lang w:eastAsia="pt-BR"/>
        </w:rPr>
        <w:t>visualizar as tabelas de sensibilidade</w:t>
      </w:r>
      <w:r>
        <w:rPr>
          <w:lang w:eastAsia="pt-BR"/>
        </w:rPr>
        <w:t xml:space="preserve">, </w:t>
      </w:r>
      <w:r w:rsidR="005176B2">
        <w:rPr>
          <w:lang w:eastAsia="pt-BR"/>
        </w:rPr>
        <w:t>clique no botão verd</w:t>
      </w:r>
      <w:r w:rsidR="005176B2" w:rsidRPr="00545AB5">
        <w:rPr>
          <w:lang w:eastAsia="pt-BR"/>
        </w:rPr>
        <w:t xml:space="preserve">e </w:t>
      </w:r>
      <w:r w:rsidR="00545AB5" w:rsidRPr="00A33A89">
        <w:rPr>
          <w:lang w:eastAsia="pt-BR"/>
        </w:rPr>
        <w:t>que gera</w:t>
      </w:r>
      <w:r w:rsidR="005176B2" w:rsidRPr="00545AB5">
        <w:rPr>
          <w:lang w:eastAsia="pt-BR"/>
        </w:rPr>
        <w:t xml:space="preserve"> </w:t>
      </w:r>
      <w:r w:rsidR="005176B2" w:rsidRPr="00A33A89">
        <w:rPr>
          <w:u w:val="single"/>
          <w:lang w:eastAsia="pt-BR"/>
        </w:rPr>
        <w:t>os eixos das variáveis de sensibilidade</w:t>
      </w:r>
      <w:r w:rsidR="00240E2E">
        <w:rPr>
          <w:lang w:eastAsia="pt-BR"/>
        </w:rPr>
        <w:t>.</w:t>
      </w:r>
      <w:r w:rsidR="005176B2">
        <w:rPr>
          <w:lang w:eastAsia="pt-BR"/>
        </w:rPr>
        <w:t xml:space="preserve"> </w:t>
      </w:r>
      <w:r w:rsidR="0078033B">
        <w:rPr>
          <w:lang w:eastAsia="pt-BR"/>
        </w:rPr>
        <w:t>A seguir, s</w:t>
      </w:r>
      <w:r w:rsidR="00240E2E">
        <w:rPr>
          <w:lang w:eastAsia="pt-BR"/>
        </w:rPr>
        <w:t>ão apresentadas três tabelas que combinam</w:t>
      </w:r>
      <w:r w:rsidR="0078033B">
        <w:rPr>
          <w:lang w:eastAsia="pt-BR"/>
        </w:rPr>
        <w:t>, respectivamente, diferentes custos do</w:t>
      </w:r>
      <w:r>
        <w:rPr>
          <w:lang w:eastAsia="pt-BR"/>
        </w:rPr>
        <w:t xml:space="preserve"> combustível fóssil </w:t>
      </w:r>
      <w:r w:rsidR="00240E2E">
        <w:rPr>
          <w:lang w:eastAsia="pt-BR"/>
        </w:rPr>
        <w:t xml:space="preserve">com </w:t>
      </w:r>
      <w:r w:rsidR="0078033B">
        <w:rPr>
          <w:lang w:eastAsia="pt-BR"/>
        </w:rPr>
        <w:t xml:space="preserve">diferentes: </w:t>
      </w:r>
      <w:r w:rsidR="00240E2E">
        <w:rPr>
          <w:lang w:eastAsia="pt-BR"/>
        </w:rPr>
        <w:t xml:space="preserve">custos </w:t>
      </w:r>
      <w:r w:rsidR="00240E2E">
        <w:rPr>
          <w:lang w:eastAsia="pt-BR"/>
        </w:rPr>
        <w:lastRenderedPageBreak/>
        <w:t>da</w:t>
      </w:r>
      <w:r>
        <w:rPr>
          <w:lang w:eastAsia="pt-BR"/>
        </w:rPr>
        <w:t xml:space="preserve"> energia elétrica</w:t>
      </w:r>
      <w:r w:rsidR="0078033B">
        <w:rPr>
          <w:lang w:eastAsia="pt-BR"/>
        </w:rPr>
        <w:t>;</w:t>
      </w:r>
      <w:r>
        <w:rPr>
          <w:lang w:eastAsia="pt-BR"/>
        </w:rPr>
        <w:t xml:space="preserve"> custo unitário do eletrolisador por unidade de potência instalada</w:t>
      </w:r>
      <w:r w:rsidR="0078033B">
        <w:rPr>
          <w:lang w:eastAsia="pt-BR"/>
        </w:rPr>
        <w:t>;</w:t>
      </w:r>
      <w:r>
        <w:rPr>
          <w:lang w:eastAsia="pt-BR"/>
        </w:rPr>
        <w:t xml:space="preserve"> e taxa</w:t>
      </w:r>
      <w:r w:rsidR="00C112E2">
        <w:rPr>
          <w:lang w:eastAsia="pt-BR"/>
        </w:rPr>
        <w:t>s</w:t>
      </w:r>
      <w:r>
        <w:rPr>
          <w:lang w:eastAsia="pt-BR"/>
        </w:rPr>
        <w:t xml:space="preserve"> de desconto.</w:t>
      </w:r>
      <w:r w:rsidR="0078033B">
        <w:rPr>
          <w:lang w:eastAsia="pt-BR"/>
        </w:rPr>
        <w:t xml:space="preserve"> </w:t>
      </w:r>
    </w:p>
    <w:p w14:paraId="38764722" w14:textId="77B3F968" w:rsidR="003A33AB" w:rsidRDefault="003F7741" w:rsidP="003A33AB">
      <w:pPr>
        <w:rPr>
          <w:lang w:eastAsia="pt-BR"/>
        </w:rPr>
      </w:pPr>
      <w:r>
        <w:rPr>
          <w:lang w:eastAsia="pt-BR"/>
        </w:rPr>
        <w:t xml:space="preserve">A três tabelas possuem a mesma concepção de visualização. Por exemplo, a interseção entre um dado preço de energia elétrica e um dado preço de combustível fóssil representa o VPL nas condições que definem a interseção, considerando todos os outros parâmetros constantes. Com objetivo informativo e comparativo, o VPL </w:t>
      </w:r>
      <w:r w:rsidR="003A33AB">
        <w:rPr>
          <w:lang w:eastAsia="pt-BR"/>
        </w:rPr>
        <w:t xml:space="preserve">original, </w:t>
      </w:r>
      <w:r>
        <w:rPr>
          <w:lang w:eastAsia="pt-BR"/>
        </w:rPr>
        <w:t>obtido através dos dados de entrada</w:t>
      </w:r>
      <w:r w:rsidR="003A33AB">
        <w:rPr>
          <w:lang w:eastAsia="pt-BR"/>
        </w:rPr>
        <w:t>,</w:t>
      </w:r>
      <w:r>
        <w:rPr>
          <w:lang w:eastAsia="pt-BR"/>
        </w:rPr>
        <w:t xml:space="preserve"> é apresentado p</w:t>
      </w:r>
      <w:r w:rsidR="0078033B">
        <w:rPr>
          <w:lang w:eastAsia="pt-BR"/>
        </w:rPr>
        <w:t>róximo à origem dos eixos das tabelas</w:t>
      </w:r>
      <w:r>
        <w:rPr>
          <w:lang w:eastAsia="pt-BR"/>
        </w:rPr>
        <w:t>.</w:t>
      </w:r>
      <w:r w:rsidR="0078033B">
        <w:rPr>
          <w:lang w:eastAsia="pt-BR"/>
        </w:rPr>
        <w:t xml:space="preserve"> </w:t>
      </w:r>
    </w:p>
    <w:p w14:paraId="2B1512D5" w14:textId="6DC67C57" w:rsidR="00D406AD" w:rsidRPr="004A4F69" w:rsidRDefault="003A33AB" w:rsidP="00406AD8">
      <w:pPr>
        <w:rPr>
          <w:lang w:eastAsia="pt-BR"/>
        </w:rPr>
      </w:pPr>
      <w:r>
        <w:rPr>
          <w:lang w:eastAsia="pt-BR"/>
        </w:rPr>
        <w:t>Os valores da</w:t>
      </w:r>
      <w:r w:rsidR="00C112E2">
        <w:rPr>
          <w:lang w:eastAsia="pt-BR"/>
        </w:rPr>
        <w:t>s</w:t>
      </w:r>
      <w:r>
        <w:rPr>
          <w:lang w:eastAsia="pt-BR"/>
        </w:rPr>
        <w:t xml:space="preserve"> abscissa</w:t>
      </w:r>
      <w:r w:rsidR="00C112E2">
        <w:rPr>
          <w:lang w:eastAsia="pt-BR"/>
        </w:rPr>
        <w:t>s</w:t>
      </w:r>
      <w:r>
        <w:rPr>
          <w:lang w:eastAsia="pt-BR"/>
        </w:rPr>
        <w:t xml:space="preserve"> </w:t>
      </w:r>
      <w:r w:rsidR="00C112E2">
        <w:rPr>
          <w:lang w:eastAsia="pt-BR"/>
        </w:rPr>
        <w:t>e</w:t>
      </w:r>
      <w:r>
        <w:rPr>
          <w:lang w:eastAsia="pt-BR"/>
        </w:rPr>
        <w:t xml:space="preserve"> </w:t>
      </w:r>
      <w:r w:rsidR="00C112E2">
        <w:rPr>
          <w:lang w:eastAsia="pt-BR"/>
        </w:rPr>
        <w:t xml:space="preserve">das </w:t>
      </w:r>
      <w:r>
        <w:rPr>
          <w:lang w:eastAsia="pt-BR"/>
        </w:rPr>
        <w:t>ordenada</w:t>
      </w:r>
      <w:r w:rsidR="00C112E2">
        <w:rPr>
          <w:lang w:eastAsia="pt-BR"/>
        </w:rPr>
        <w:t>s</w:t>
      </w:r>
      <w:r>
        <w:rPr>
          <w:lang w:eastAsia="pt-BR"/>
        </w:rPr>
        <w:t xml:space="preserve"> da</w:t>
      </w:r>
      <w:r w:rsidR="00C112E2">
        <w:rPr>
          <w:lang w:eastAsia="pt-BR"/>
        </w:rPr>
        <w:t>s</w:t>
      </w:r>
      <w:r>
        <w:rPr>
          <w:lang w:eastAsia="pt-BR"/>
        </w:rPr>
        <w:t xml:space="preserve"> tabela</w:t>
      </w:r>
      <w:r w:rsidR="00C112E2">
        <w:rPr>
          <w:lang w:eastAsia="pt-BR"/>
        </w:rPr>
        <w:t>s</w:t>
      </w:r>
      <w:r>
        <w:rPr>
          <w:lang w:eastAsia="pt-BR"/>
        </w:rPr>
        <w:t xml:space="preserve"> podem ser alterados manualmente para viabilizar uma análise de sensibilidade mais personalizada.</w:t>
      </w:r>
      <w:r w:rsidR="00C112E2">
        <w:rPr>
          <w:lang w:eastAsia="pt-BR"/>
        </w:rPr>
        <w:t xml:space="preserve"> Para resgatar os valores iniciais, clique no botão verd</w:t>
      </w:r>
      <w:r w:rsidR="00C112E2" w:rsidRPr="00545AB5">
        <w:rPr>
          <w:lang w:eastAsia="pt-BR"/>
        </w:rPr>
        <w:t xml:space="preserve">e </w:t>
      </w:r>
      <w:r w:rsidR="00C112E2" w:rsidRPr="00A33A89">
        <w:rPr>
          <w:lang w:eastAsia="pt-BR"/>
        </w:rPr>
        <w:t>que gera</w:t>
      </w:r>
      <w:r w:rsidR="00C112E2" w:rsidRPr="00545AB5">
        <w:rPr>
          <w:lang w:eastAsia="pt-BR"/>
        </w:rPr>
        <w:t xml:space="preserve"> </w:t>
      </w:r>
      <w:r w:rsidR="00C112E2" w:rsidRPr="00C112E2">
        <w:rPr>
          <w:lang w:eastAsia="pt-BR"/>
        </w:rPr>
        <w:t>os eixos das variáveis de sensibilidade</w:t>
      </w:r>
      <w:r w:rsidR="00C112E2">
        <w:rPr>
          <w:lang w:eastAsia="pt-BR"/>
        </w:rPr>
        <w:t>.</w:t>
      </w:r>
    </w:p>
    <w:sectPr w:rsidR="00D406AD" w:rsidRPr="004A4F69" w:rsidSect="007F32A7">
      <w:footerReference w:type="default" r:id="rId13"/>
      <w:headerReference w:type="first" r:id="rId14"/>
      <w:pgSz w:w="11906" w:h="16838"/>
      <w:pgMar w:top="1418" w:right="155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32C0" w14:textId="77777777" w:rsidR="00CB1C39" w:rsidRDefault="00CB1C39" w:rsidP="004021E2">
      <w:pPr>
        <w:spacing w:after="0" w:line="240" w:lineRule="auto"/>
      </w:pPr>
      <w:r>
        <w:separator/>
      </w:r>
    </w:p>
  </w:endnote>
  <w:endnote w:type="continuationSeparator" w:id="0">
    <w:p w14:paraId="45C7B9DB" w14:textId="77777777" w:rsidR="00CB1C39" w:rsidRDefault="00CB1C39" w:rsidP="0040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13485"/>
      <w:docPartObj>
        <w:docPartGallery w:val="Page Numbers (Bottom of Page)"/>
        <w:docPartUnique/>
      </w:docPartObj>
    </w:sdtPr>
    <w:sdtContent>
      <w:p w14:paraId="5863CA9F" w14:textId="1475FDCC" w:rsidR="00063D58" w:rsidRDefault="00063D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7F">
          <w:rPr>
            <w:noProof/>
          </w:rPr>
          <w:t>15</w:t>
        </w:r>
        <w:r>
          <w:fldChar w:fldCharType="end"/>
        </w:r>
      </w:p>
    </w:sdtContent>
  </w:sdt>
  <w:p w14:paraId="7ED78729" w14:textId="77777777" w:rsidR="00063D58" w:rsidRDefault="00063D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5878" w14:textId="77777777" w:rsidR="00CB1C39" w:rsidRDefault="00CB1C39" w:rsidP="004021E2">
      <w:pPr>
        <w:spacing w:after="0" w:line="240" w:lineRule="auto"/>
      </w:pPr>
      <w:r>
        <w:separator/>
      </w:r>
    </w:p>
  </w:footnote>
  <w:footnote w:type="continuationSeparator" w:id="0">
    <w:p w14:paraId="0E409B27" w14:textId="77777777" w:rsidR="00CB1C39" w:rsidRDefault="00CB1C39" w:rsidP="004021E2">
      <w:pPr>
        <w:spacing w:after="0" w:line="240" w:lineRule="auto"/>
      </w:pPr>
      <w:r>
        <w:continuationSeparator/>
      </w:r>
    </w:p>
  </w:footnote>
  <w:footnote w:id="1">
    <w:p w14:paraId="3F55ECDF" w14:textId="1B3A40A3" w:rsidR="00692814" w:rsidRDefault="00692814" w:rsidP="00692814">
      <w:pPr>
        <w:pStyle w:val="Textodenotaderodap"/>
      </w:pPr>
      <w:r>
        <w:rPr>
          <w:rStyle w:val="Refdenotaderodap"/>
        </w:rPr>
        <w:footnoteRef/>
      </w:r>
      <w:r>
        <w:t xml:space="preserve"> EPE (2022) Balanço Energético Nacional 2022. </w:t>
      </w:r>
      <w:r w:rsidRPr="00692814">
        <w:t>https://www.epe.gov.br/sites-pt/publicacoes-dados-abertos/publicacoes/PublicacoesArquivos/publicacao-675/topico-638/BEN2022.pdf</w:t>
      </w:r>
    </w:p>
  </w:footnote>
  <w:footnote w:id="2">
    <w:p w14:paraId="1CD8F28B" w14:textId="5675BAC6" w:rsidR="00692814" w:rsidRPr="00A33A89" w:rsidRDefault="00692814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33A89">
        <w:rPr>
          <w:lang w:val="en-US"/>
        </w:rPr>
        <w:t xml:space="preserve"> GHG Protocol (2023) Calculation Tools and </w:t>
      </w:r>
      <w:r>
        <w:rPr>
          <w:lang w:val="en-US"/>
        </w:rPr>
        <w:t xml:space="preserve">Guidance. </w:t>
      </w:r>
      <w:r w:rsidRPr="00A33A89">
        <w:rPr>
          <w:lang w:val="en-US"/>
        </w:rPr>
        <w:t>https://ghgprotocol.org/calculation-tools-and-guidance</w:t>
      </w:r>
    </w:p>
  </w:footnote>
  <w:footnote w:id="3">
    <w:p w14:paraId="07F91C04" w14:textId="7F2F2C18" w:rsidR="00A63EF3" w:rsidRPr="00A33A89" w:rsidRDefault="00A63EF3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33A89">
        <w:rPr>
          <w:lang w:val="en-US"/>
        </w:rPr>
        <w:t xml:space="preserve"> Kahn et al (2021) Designin</w:t>
      </w:r>
      <w:r>
        <w:rPr>
          <w:lang w:val="en-US"/>
        </w:rPr>
        <w:t>g</w:t>
      </w:r>
      <w:r w:rsidRPr="00A33A89">
        <w:rPr>
          <w:lang w:val="en-US"/>
        </w:rPr>
        <w:t xml:space="preserve"> Optimal </w:t>
      </w:r>
      <w:r>
        <w:rPr>
          <w:lang w:val="en-US"/>
        </w:rPr>
        <w:t xml:space="preserve">Integrated Electricity Supply Configurations for Renewable Hydrogen Generation in Australia. iScience 24, 102539. </w:t>
      </w:r>
      <w:r w:rsidRPr="00A63EF3">
        <w:rPr>
          <w:lang w:val="en-US"/>
        </w:rPr>
        <w:t>https://www.researchgate.net/publication/351611920_Designing_Optimal_Integrated_Electricity_Supply_Configurations_for_Renewable_Hydrogen_Generation_in_Australia/link/60c3a6f84585157774cc6896/download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26D6" w14:textId="510EF1D0" w:rsidR="006515B7" w:rsidRDefault="006515B7">
    <w:pPr>
      <w:pStyle w:val="Cabealho"/>
      <w:jc w:val="right"/>
    </w:pPr>
  </w:p>
  <w:p w14:paraId="3432754D" w14:textId="77777777" w:rsidR="006515B7" w:rsidRDefault="006515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855"/>
    <w:multiLevelType w:val="multilevel"/>
    <w:tmpl w:val="8D5C9AF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AA23B8"/>
    <w:multiLevelType w:val="hybridMultilevel"/>
    <w:tmpl w:val="42E6F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74C7A"/>
    <w:multiLevelType w:val="multilevel"/>
    <w:tmpl w:val="BC14D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" w15:restartNumberingAfterBreak="0">
    <w:nsid w:val="36D37D1C"/>
    <w:multiLevelType w:val="hybridMultilevel"/>
    <w:tmpl w:val="5A82930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475E06"/>
    <w:multiLevelType w:val="multilevel"/>
    <w:tmpl w:val="D4E2A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20060A"/>
    <w:multiLevelType w:val="multilevel"/>
    <w:tmpl w:val="D59C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6" w15:restartNumberingAfterBreak="0">
    <w:nsid w:val="6C425C20"/>
    <w:multiLevelType w:val="multilevel"/>
    <w:tmpl w:val="E9C0183C"/>
    <w:lvl w:ilvl="0">
      <w:start w:val="1"/>
      <w:numFmt w:val="decimal"/>
      <w:lvlText w:val="%1"/>
      <w:lvlJc w:val="left"/>
      <w:pPr>
        <w:tabs>
          <w:tab w:val="num" w:pos="737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1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371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394530D"/>
    <w:multiLevelType w:val="hybridMultilevel"/>
    <w:tmpl w:val="AF3057C2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D9E5AA7"/>
    <w:multiLevelType w:val="hybridMultilevel"/>
    <w:tmpl w:val="217E36E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F2A3021"/>
    <w:multiLevelType w:val="hybridMultilevel"/>
    <w:tmpl w:val="4DF62BE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6736748">
    <w:abstractNumId w:val="5"/>
  </w:num>
  <w:num w:numId="2" w16cid:durableId="1494687304">
    <w:abstractNumId w:val="2"/>
  </w:num>
  <w:num w:numId="3" w16cid:durableId="1594515366">
    <w:abstractNumId w:val="6"/>
  </w:num>
  <w:num w:numId="4" w16cid:durableId="1666517909">
    <w:abstractNumId w:val="1"/>
  </w:num>
  <w:num w:numId="5" w16cid:durableId="1149176023">
    <w:abstractNumId w:val="6"/>
  </w:num>
  <w:num w:numId="6" w16cid:durableId="343287717">
    <w:abstractNumId w:val="3"/>
  </w:num>
  <w:num w:numId="7" w16cid:durableId="775363993">
    <w:abstractNumId w:val="0"/>
  </w:num>
  <w:num w:numId="8" w16cid:durableId="940527617">
    <w:abstractNumId w:val="4"/>
  </w:num>
  <w:num w:numId="9" w16cid:durableId="1731461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9225814">
    <w:abstractNumId w:val="9"/>
  </w:num>
  <w:num w:numId="11" w16cid:durableId="1733699942">
    <w:abstractNumId w:val="7"/>
  </w:num>
  <w:num w:numId="12" w16cid:durableId="152929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1MDA3NjIwtTA1NDBR0lEKTi0uzszPAykwrAUAzpQ7TCwAAAA="/>
  </w:docVars>
  <w:rsids>
    <w:rsidRoot w:val="0066744B"/>
    <w:rsid w:val="000052D8"/>
    <w:rsid w:val="00014B03"/>
    <w:rsid w:val="0001567B"/>
    <w:rsid w:val="00021B19"/>
    <w:rsid w:val="0002403E"/>
    <w:rsid w:val="0002420B"/>
    <w:rsid w:val="00024763"/>
    <w:rsid w:val="00030DBA"/>
    <w:rsid w:val="00031A69"/>
    <w:rsid w:val="000426B9"/>
    <w:rsid w:val="000524B2"/>
    <w:rsid w:val="00052B0F"/>
    <w:rsid w:val="000568FB"/>
    <w:rsid w:val="00063D58"/>
    <w:rsid w:val="0007034C"/>
    <w:rsid w:val="000754A8"/>
    <w:rsid w:val="00075B8E"/>
    <w:rsid w:val="00076FFB"/>
    <w:rsid w:val="000862A7"/>
    <w:rsid w:val="00086982"/>
    <w:rsid w:val="000919C0"/>
    <w:rsid w:val="00092997"/>
    <w:rsid w:val="00093239"/>
    <w:rsid w:val="000A4B83"/>
    <w:rsid w:val="000A4E19"/>
    <w:rsid w:val="000C00A1"/>
    <w:rsid w:val="000D5061"/>
    <w:rsid w:val="000D7488"/>
    <w:rsid w:val="000E54D4"/>
    <w:rsid w:val="000F5B16"/>
    <w:rsid w:val="000F5BC7"/>
    <w:rsid w:val="001035E4"/>
    <w:rsid w:val="00134BF7"/>
    <w:rsid w:val="001402DF"/>
    <w:rsid w:val="00164621"/>
    <w:rsid w:val="001710E0"/>
    <w:rsid w:val="00172E7F"/>
    <w:rsid w:val="00172F23"/>
    <w:rsid w:val="00173821"/>
    <w:rsid w:val="00186053"/>
    <w:rsid w:val="00187646"/>
    <w:rsid w:val="0019792C"/>
    <w:rsid w:val="001A0D13"/>
    <w:rsid w:val="001A3924"/>
    <w:rsid w:val="001A5B6F"/>
    <w:rsid w:val="001A6678"/>
    <w:rsid w:val="001B1344"/>
    <w:rsid w:val="001B2A75"/>
    <w:rsid w:val="001C0621"/>
    <w:rsid w:val="001C6E95"/>
    <w:rsid w:val="001C74F7"/>
    <w:rsid w:val="001C7BAB"/>
    <w:rsid w:val="001D20E4"/>
    <w:rsid w:val="001D5A17"/>
    <w:rsid w:val="001E0C73"/>
    <w:rsid w:val="001E2E81"/>
    <w:rsid w:val="001E2F72"/>
    <w:rsid w:val="001F6CA3"/>
    <w:rsid w:val="00214E32"/>
    <w:rsid w:val="002155CE"/>
    <w:rsid w:val="00222EFD"/>
    <w:rsid w:val="002263F4"/>
    <w:rsid w:val="00240E2E"/>
    <w:rsid w:val="002412EA"/>
    <w:rsid w:val="00247EA2"/>
    <w:rsid w:val="00250327"/>
    <w:rsid w:val="00255EA5"/>
    <w:rsid w:val="00255FF6"/>
    <w:rsid w:val="00257CC4"/>
    <w:rsid w:val="00265BDD"/>
    <w:rsid w:val="00276BB3"/>
    <w:rsid w:val="00282B88"/>
    <w:rsid w:val="002852E8"/>
    <w:rsid w:val="002B2027"/>
    <w:rsid w:val="002B2100"/>
    <w:rsid w:val="002C699D"/>
    <w:rsid w:val="002C71E4"/>
    <w:rsid w:val="002D0EF3"/>
    <w:rsid w:val="002D2198"/>
    <w:rsid w:val="002D5502"/>
    <w:rsid w:val="002E003E"/>
    <w:rsid w:val="002E6437"/>
    <w:rsid w:val="002E7F16"/>
    <w:rsid w:val="002F2B7F"/>
    <w:rsid w:val="002F3CB8"/>
    <w:rsid w:val="003130E6"/>
    <w:rsid w:val="00323E5D"/>
    <w:rsid w:val="0032577D"/>
    <w:rsid w:val="00326DD2"/>
    <w:rsid w:val="0034081B"/>
    <w:rsid w:val="00353A78"/>
    <w:rsid w:val="0035571C"/>
    <w:rsid w:val="00366032"/>
    <w:rsid w:val="0037492F"/>
    <w:rsid w:val="0038436C"/>
    <w:rsid w:val="00385E5E"/>
    <w:rsid w:val="00396B91"/>
    <w:rsid w:val="003A33AB"/>
    <w:rsid w:val="003B7A3C"/>
    <w:rsid w:val="003C1906"/>
    <w:rsid w:val="003F7741"/>
    <w:rsid w:val="004021E2"/>
    <w:rsid w:val="00403EA4"/>
    <w:rsid w:val="00406AD8"/>
    <w:rsid w:val="0040760C"/>
    <w:rsid w:val="00417EF6"/>
    <w:rsid w:val="0042253E"/>
    <w:rsid w:val="00423F28"/>
    <w:rsid w:val="00443B4E"/>
    <w:rsid w:val="004475E6"/>
    <w:rsid w:val="00447D90"/>
    <w:rsid w:val="004545D5"/>
    <w:rsid w:val="00464F6A"/>
    <w:rsid w:val="0046705D"/>
    <w:rsid w:val="00471B5F"/>
    <w:rsid w:val="00473DCF"/>
    <w:rsid w:val="00477AD1"/>
    <w:rsid w:val="00483706"/>
    <w:rsid w:val="00486E54"/>
    <w:rsid w:val="004A4F69"/>
    <w:rsid w:val="004B3829"/>
    <w:rsid w:val="004C0622"/>
    <w:rsid w:val="004C1832"/>
    <w:rsid w:val="004C1A75"/>
    <w:rsid w:val="004D1A93"/>
    <w:rsid w:val="004D2FF0"/>
    <w:rsid w:val="0051113D"/>
    <w:rsid w:val="0051381D"/>
    <w:rsid w:val="005176B2"/>
    <w:rsid w:val="00523B22"/>
    <w:rsid w:val="005321AE"/>
    <w:rsid w:val="005325CB"/>
    <w:rsid w:val="00540F4A"/>
    <w:rsid w:val="00545AB5"/>
    <w:rsid w:val="0055046B"/>
    <w:rsid w:val="00551A62"/>
    <w:rsid w:val="005549FF"/>
    <w:rsid w:val="00555C60"/>
    <w:rsid w:val="00572E94"/>
    <w:rsid w:val="00585088"/>
    <w:rsid w:val="005B5558"/>
    <w:rsid w:val="005B62EC"/>
    <w:rsid w:val="005C1D86"/>
    <w:rsid w:val="005C22B4"/>
    <w:rsid w:val="005D69AA"/>
    <w:rsid w:val="005D7A74"/>
    <w:rsid w:val="005E1224"/>
    <w:rsid w:val="005E169F"/>
    <w:rsid w:val="005E3F8D"/>
    <w:rsid w:val="005F098E"/>
    <w:rsid w:val="005F14A4"/>
    <w:rsid w:val="006117E1"/>
    <w:rsid w:val="00616C50"/>
    <w:rsid w:val="00624937"/>
    <w:rsid w:val="0063251E"/>
    <w:rsid w:val="006515B7"/>
    <w:rsid w:val="00653C10"/>
    <w:rsid w:val="0066744B"/>
    <w:rsid w:val="00680511"/>
    <w:rsid w:val="00683B7B"/>
    <w:rsid w:val="0068790F"/>
    <w:rsid w:val="00690904"/>
    <w:rsid w:val="0069167A"/>
    <w:rsid w:val="00692814"/>
    <w:rsid w:val="006931D2"/>
    <w:rsid w:val="006A4DF7"/>
    <w:rsid w:val="006A69CB"/>
    <w:rsid w:val="006B1A59"/>
    <w:rsid w:val="006B226B"/>
    <w:rsid w:val="006C169E"/>
    <w:rsid w:val="006C16D4"/>
    <w:rsid w:val="006D3B7D"/>
    <w:rsid w:val="006D49AB"/>
    <w:rsid w:val="006D5872"/>
    <w:rsid w:val="006D74A7"/>
    <w:rsid w:val="006F4610"/>
    <w:rsid w:val="006F493E"/>
    <w:rsid w:val="00702368"/>
    <w:rsid w:val="00704E60"/>
    <w:rsid w:val="007059EB"/>
    <w:rsid w:val="00706FB0"/>
    <w:rsid w:val="00707A3B"/>
    <w:rsid w:val="007201D2"/>
    <w:rsid w:val="007221AA"/>
    <w:rsid w:val="00734EAB"/>
    <w:rsid w:val="00736316"/>
    <w:rsid w:val="007418D6"/>
    <w:rsid w:val="0074343F"/>
    <w:rsid w:val="00750DF8"/>
    <w:rsid w:val="00751E89"/>
    <w:rsid w:val="00763835"/>
    <w:rsid w:val="00763DB4"/>
    <w:rsid w:val="00773955"/>
    <w:rsid w:val="00774A86"/>
    <w:rsid w:val="0078033B"/>
    <w:rsid w:val="00782F9D"/>
    <w:rsid w:val="00783882"/>
    <w:rsid w:val="00785FF5"/>
    <w:rsid w:val="007A145D"/>
    <w:rsid w:val="007B152F"/>
    <w:rsid w:val="007B659B"/>
    <w:rsid w:val="007C116F"/>
    <w:rsid w:val="007D02CA"/>
    <w:rsid w:val="007D0B81"/>
    <w:rsid w:val="007D1C36"/>
    <w:rsid w:val="007D33A3"/>
    <w:rsid w:val="007D4996"/>
    <w:rsid w:val="007E07B7"/>
    <w:rsid w:val="007E5111"/>
    <w:rsid w:val="007E64C5"/>
    <w:rsid w:val="007F32A7"/>
    <w:rsid w:val="00806764"/>
    <w:rsid w:val="00810BE3"/>
    <w:rsid w:val="00811720"/>
    <w:rsid w:val="008118BB"/>
    <w:rsid w:val="008123DE"/>
    <w:rsid w:val="008136E3"/>
    <w:rsid w:val="00825365"/>
    <w:rsid w:val="008260EC"/>
    <w:rsid w:val="008332A5"/>
    <w:rsid w:val="00834380"/>
    <w:rsid w:val="00837020"/>
    <w:rsid w:val="008505F8"/>
    <w:rsid w:val="008522F7"/>
    <w:rsid w:val="00855D72"/>
    <w:rsid w:val="008632EE"/>
    <w:rsid w:val="00866624"/>
    <w:rsid w:val="00870FF5"/>
    <w:rsid w:val="00871297"/>
    <w:rsid w:val="00877075"/>
    <w:rsid w:val="00885343"/>
    <w:rsid w:val="00890848"/>
    <w:rsid w:val="008916F0"/>
    <w:rsid w:val="00891C51"/>
    <w:rsid w:val="00892CFD"/>
    <w:rsid w:val="008A191B"/>
    <w:rsid w:val="008A1CA4"/>
    <w:rsid w:val="008C7469"/>
    <w:rsid w:val="008D6749"/>
    <w:rsid w:val="008E09BC"/>
    <w:rsid w:val="008E39AE"/>
    <w:rsid w:val="008F001A"/>
    <w:rsid w:val="009103F7"/>
    <w:rsid w:val="0091336A"/>
    <w:rsid w:val="0091530B"/>
    <w:rsid w:val="00916789"/>
    <w:rsid w:val="00920E43"/>
    <w:rsid w:val="00926AD4"/>
    <w:rsid w:val="00933F0A"/>
    <w:rsid w:val="009411E0"/>
    <w:rsid w:val="00944C95"/>
    <w:rsid w:val="0094617E"/>
    <w:rsid w:val="009546A6"/>
    <w:rsid w:val="00954E71"/>
    <w:rsid w:val="00967E59"/>
    <w:rsid w:val="009858D2"/>
    <w:rsid w:val="00987A19"/>
    <w:rsid w:val="009A3110"/>
    <w:rsid w:val="009A4010"/>
    <w:rsid w:val="009B5661"/>
    <w:rsid w:val="009B5A8F"/>
    <w:rsid w:val="009B784D"/>
    <w:rsid w:val="009C0B92"/>
    <w:rsid w:val="009C4EBF"/>
    <w:rsid w:val="009C7712"/>
    <w:rsid w:val="009D1DF8"/>
    <w:rsid w:val="009F112A"/>
    <w:rsid w:val="009F308C"/>
    <w:rsid w:val="009F669B"/>
    <w:rsid w:val="00A05301"/>
    <w:rsid w:val="00A05320"/>
    <w:rsid w:val="00A10352"/>
    <w:rsid w:val="00A128A7"/>
    <w:rsid w:val="00A25CEC"/>
    <w:rsid w:val="00A33A89"/>
    <w:rsid w:val="00A46DFF"/>
    <w:rsid w:val="00A52BDC"/>
    <w:rsid w:val="00A5402D"/>
    <w:rsid w:val="00A55B59"/>
    <w:rsid w:val="00A63EF3"/>
    <w:rsid w:val="00A65559"/>
    <w:rsid w:val="00A74772"/>
    <w:rsid w:val="00A7626F"/>
    <w:rsid w:val="00A8766F"/>
    <w:rsid w:val="00A973C8"/>
    <w:rsid w:val="00AA31C1"/>
    <w:rsid w:val="00AA4A69"/>
    <w:rsid w:val="00AA5BF2"/>
    <w:rsid w:val="00AB1CEB"/>
    <w:rsid w:val="00AB686D"/>
    <w:rsid w:val="00AB7644"/>
    <w:rsid w:val="00AC682B"/>
    <w:rsid w:val="00AD223C"/>
    <w:rsid w:val="00AD44D4"/>
    <w:rsid w:val="00AD45AC"/>
    <w:rsid w:val="00AD4F5F"/>
    <w:rsid w:val="00AE280B"/>
    <w:rsid w:val="00AE4F25"/>
    <w:rsid w:val="00AE6B29"/>
    <w:rsid w:val="00AF0BEA"/>
    <w:rsid w:val="00AF39F1"/>
    <w:rsid w:val="00B02047"/>
    <w:rsid w:val="00B024C7"/>
    <w:rsid w:val="00B04D77"/>
    <w:rsid w:val="00B37392"/>
    <w:rsid w:val="00B37DE8"/>
    <w:rsid w:val="00B432DA"/>
    <w:rsid w:val="00B4543D"/>
    <w:rsid w:val="00B52B0B"/>
    <w:rsid w:val="00B60C72"/>
    <w:rsid w:val="00B80E9A"/>
    <w:rsid w:val="00B83FF7"/>
    <w:rsid w:val="00B86503"/>
    <w:rsid w:val="00B91598"/>
    <w:rsid w:val="00B94C3A"/>
    <w:rsid w:val="00BA386D"/>
    <w:rsid w:val="00BB5419"/>
    <w:rsid w:val="00BC29A3"/>
    <w:rsid w:val="00BD7DE4"/>
    <w:rsid w:val="00BE44BE"/>
    <w:rsid w:val="00BF447A"/>
    <w:rsid w:val="00BF5EAD"/>
    <w:rsid w:val="00C03755"/>
    <w:rsid w:val="00C04907"/>
    <w:rsid w:val="00C112E2"/>
    <w:rsid w:val="00C16426"/>
    <w:rsid w:val="00C1716B"/>
    <w:rsid w:val="00C23384"/>
    <w:rsid w:val="00C2645A"/>
    <w:rsid w:val="00C317E5"/>
    <w:rsid w:val="00C33BB9"/>
    <w:rsid w:val="00C3649F"/>
    <w:rsid w:val="00C37F5C"/>
    <w:rsid w:val="00C4099C"/>
    <w:rsid w:val="00C474FF"/>
    <w:rsid w:val="00C5206B"/>
    <w:rsid w:val="00C5208C"/>
    <w:rsid w:val="00C529A8"/>
    <w:rsid w:val="00C82D27"/>
    <w:rsid w:val="00C96741"/>
    <w:rsid w:val="00CA27B4"/>
    <w:rsid w:val="00CA43D3"/>
    <w:rsid w:val="00CA68E2"/>
    <w:rsid w:val="00CB1C39"/>
    <w:rsid w:val="00CB2C80"/>
    <w:rsid w:val="00CB2C83"/>
    <w:rsid w:val="00CB3FAB"/>
    <w:rsid w:val="00CC1C97"/>
    <w:rsid w:val="00CC5D9A"/>
    <w:rsid w:val="00CC642B"/>
    <w:rsid w:val="00CD16DA"/>
    <w:rsid w:val="00CF3470"/>
    <w:rsid w:val="00D047AA"/>
    <w:rsid w:val="00D129D5"/>
    <w:rsid w:val="00D143AF"/>
    <w:rsid w:val="00D14CBB"/>
    <w:rsid w:val="00D24EEA"/>
    <w:rsid w:val="00D269D9"/>
    <w:rsid w:val="00D34B29"/>
    <w:rsid w:val="00D406AD"/>
    <w:rsid w:val="00D54C1E"/>
    <w:rsid w:val="00D627F8"/>
    <w:rsid w:val="00D6434F"/>
    <w:rsid w:val="00D64A12"/>
    <w:rsid w:val="00D70178"/>
    <w:rsid w:val="00D713DC"/>
    <w:rsid w:val="00D75030"/>
    <w:rsid w:val="00D808E5"/>
    <w:rsid w:val="00D8256F"/>
    <w:rsid w:val="00D82B86"/>
    <w:rsid w:val="00D85B2A"/>
    <w:rsid w:val="00D85F29"/>
    <w:rsid w:val="00D921E9"/>
    <w:rsid w:val="00DB4F17"/>
    <w:rsid w:val="00DC66A8"/>
    <w:rsid w:val="00DD680F"/>
    <w:rsid w:val="00DE2B0B"/>
    <w:rsid w:val="00DE6D23"/>
    <w:rsid w:val="00E10620"/>
    <w:rsid w:val="00E35E61"/>
    <w:rsid w:val="00E42D85"/>
    <w:rsid w:val="00E44C60"/>
    <w:rsid w:val="00E536F1"/>
    <w:rsid w:val="00E65964"/>
    <w:rsid w:val="00E6733F"/>
    <w:rsid w:val="00E729F9"/>
    <w:rsid w:val="00E7358B"/>
    <w:rsid w:val="00E77036"/>
    <w:rsid w:val="00E80655"/>
    <w:rsid w:val="00E8117A"/>
    <w:rsid w:val="00EA0479"/>
    <w:rsid w:val="00EA6BF9"/>
    <w:rsid w:val="00EA7733"/>
    <w:rsid w:val="00EB4B1A"/>
    <w:rsid w:val="00EC2B28"/>
    <w:rsid w:val="00EC36D3"/>
    <w:rsid w:val="00ED3A23"/>
    <w:rsid w:val="00EF690E"/>
    <w:rsid w:val="00F003EF"/>
    <w:rsid w:val="00F162DE"/>
    <w:rsid w:val="00F31D56"/>
    <w:rsid w:val="00F40CBB"/>
    <w:rsid w:val="00F418E2"/>
    <w:rsid w:val="00F50D39"/>
    <w:rsid w:val="00F5721D"/>
    <w:rsid w:val="00F70C84"/>
    <w:rsid w:val="00F72C53"/>
    <w:rsid w:val="00F80532"/>
    <w:rsid w:val="00F85A67"/>
    <w:rsid w:val="00FA2A1D"/>
    <w:rsid w:val="00FA3BA2"/>
    <w:rsid w:val="00FA4475"/>
    <w:rsid w:val="00FA4BA9"/>
    <w:rsid w:val="00FB3389"/>
    <w:rsid w:val="00FC2616"/>
    <w:rsid w:val="00FC2904"/>
    <w:rsid w:val="00FD1A84"/>
    <w:rsid w:val="00FD3E5A"/>
    <w:rsid w:val="00FD4E2B"/>
    <w:rsid w:val="00FD5F43"/>
    <w:rsid w:val="00FD77A6"/>
    <w:rsid w:val="00FE0393"/>
    <w:rsid w:val="00FF0B16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58875"/>
  <w15:chartTrackingRefBased/>
  <w15:docId w15:val="{0FEB7CC7-D523-49A7-ABC1-3EAC90F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2D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autoRedefine/>
    <w:uiPriority w:val="9"/>
    <w:qFormat/>
    <w:rsid w:val="00063D58"/>
    <w:pPr>
      <w:keepNext/>
      <w:keepLines/>
      <w:numPr>
        <w:numId w:val="7"/>
      </w:numPr>
      <w:spacing w:before="600" w:after="240" w:line="240" w:lineRule="auto"/>
      <w:ind w:left="340" w:hanging="340"/>
      <w:outlineLvl w:val="0"/>
    </w:pPr>
    <w:rPr>
      <w:rFonts w:eastAsiaTheme="majorEastAsia" w:cstheme="majorBidi"/>
      <w:b/>
      <w:color w:val="000000" w:themeColor="text1"/>
      <w:sz w:val="28"/>
      <w:szCs w:val="32"/>
      <w:lang w:eastAsia="pt-BR"/>
    </w:rPr>
  </w:style>
  <w:style w:type="paragraph" w:styleId="Ttulo2">
    <w:name w:val="heading 2"/>
    <w:aliases w:val="Título da seção secundária"/>
    <w:basedOn w:val="Normal"/>
    <w:next w:val="Normal"/>
    <w:link w:val="Ttulo2Char"/>
    <w:autoRedefine/>
    <w:uiPriority w:val="9"/>
    <w:unhideWhenUsed/>
    <w:qFormat/>
    <w:rsid w:val="00782F9D"/>
    <w:pPr>
      <w:keepNext/>
      <w:keepLines/>
      <w:numPr>
        <w:ilvl w:val="1"/>
        <w:numId w:val="7"/>
      </w:numPr>
      <w:spacing w:before="360" w:after="240" w:line="240" w:lineRule="auto"/>
      <w:ind w:left="811" w:right="227" w:hanging="454"/>
      <w:outlineLvl w:val="1"/>
    </w:pPr>
    <w:rPr>
      <w:rFonts w:eastAsiaTheme="majorEastAsia" w:cstheme="majorBidi"/>
      <w:b/>
      <w:color w:val="000000" w:themeColor="text1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2198"/>
    <w:pPr>
      <w:keepNext/>
      <w:keepLines/>
      <w:numPr>
        <w:ilvl w:val="2"/>
        <w:numId w:val="5"/>
      </w:numPr>
      <w:spacing w:before="30" w:after="24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392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392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392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392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392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392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da seção Char"/>
    <w:basedOn w:val="Fontepargpadro"/>
    <w:link w:val="Ttulo1"/>
    <w:uiPriority w:val="9"/>
    <w:rsid w:val="00063D58"/>
    <w:rPr>
      <w:rFonts w:ascii="Arial" w:eastAsiaTheme="majorEastAsia" w:hAnsi="Arial" w:cstheme="majorBidi"/>
      <w:b/>
      <w:color w:val="000000" w:themeColor="text1"/>
      <w:sz w:val="28"/>
      <w:szCs w:val="32"/>
      <w:lang w:eastAsia="pt-BR"/>
    </w:rPr>
  </w:style>
  <w:style w:type="paragraph" w:customStyle="1" w:styleId="Pargrafo">
    <w:name w:val="Parágrafo"/>
    <w:basedOn w:val="Normal"/>
    <w:link w:val="PargrafoChar"/>
    <w:qFormat/>
    <w:rsid w:val="0066744B"/>
    <w:pPr>
      <w:ind w:firstLine="454"/>
    </w:pPr>
    <w:rPr>
      <w:rFonts w:cs="Arial"/>
      <w:color w:val="000000" w:themeColor="text1"/>
      <w:sz w:val="22"/>
      <w:szCs w:val="24"/>
    </w:rPr>
  </w:style>
  <w:style w:type="character" w:customStyle="1" w:styleId="Ttulo2Char">
    <w:name w:val="Título 2 Char"/>
    <w:aliases w:val="Título da seção secundária Char"/>
    <w:basedOn w:val="Fontepargpadro"/>
    <w:link w:val="Ttulo2"/>
    <w:uiPriority w:val="9"/>
    <w:rsid w:val="00782F9D"/>
    <w:rPr>
      <w:rFonts w:ascii="Arial" w:eastAsiaTheme="majorEastAsia" w:hAnsi="Arial" w:cstheme="majorBidi"/>
      <w:b/>
      <w:color w:val="000000" w:themeColor="text1"/>
      <w:sz w:val="24"/>
      <w:szCs w:val="26"/>
      <w:lang w:eastAsia="pt-BR"/>
    </w:rPr>
  </w:style>
  <w:style w:type="character" w:customStyle="1" w:styleId="PargrafoChar">
    <w:name w:val="Parágrafo Char"/>
    <w:basedOn w:val="Fontepargpadro"/>
    <w:link w:val="Pargrafo"/>
    <w:rsid w:val="0066744B"/>
    <w:rPr>
      <w:rFonts w:ascii="Arial" w:hAnsi="Arial" w:cs="Arial"/>
      <w:color w:val="000000" w:themeColor="text1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2D219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392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392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392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392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3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3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3C1906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0D506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063D58"/>
    <w:pPr>
      <w:tabs>
        <w:tab w:val="left" w:pos="440"/>
        <w:tab w:val="left" w:pos="1100"/>
        <w:tab w:val="right" w:leader="dot" w:pos="7927"/>
      </w:tabs>
      <w:spacing w:before="240"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63D58"/>
    <w:pPr>
      <w:tabs>
        <w:tab w:val="left" w:pos="1540"/>
        <w:tab w:val="right" w:leader="dot" w:pos="7927"/>
      </w:tabs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0D5061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4343F"/>
    <w:pPr>
      <w:spacing w:after="200"/>
    </w:pPr>
    <w:rPr>
      <w:iCs/>
      <w:color w:val="000000" w:themeColor="text1"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0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1E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402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1E2"/>
    <w:rPr>
      <w:rFonts w:ascii="Arial" w:hAnsi="Arial"/>
      <w:sz w:val="24"/>
    </w:rPr>
  </w:style>
  <w:style w:type="paragraph" w:customStyle="1" w:styleId="Estilo2">
    <w:name w:val="Estilo2"/>
    <w:basedOn w:val="Normal"/>
    <w:next w:val="Normal"/>
    <w:link w:val="Estilo2Char"/>
    <w:qFormat/>
    <w:rsid w:val="009B5A8F"/>
    <w:pPr>
      <w:jc w:val="left"/>
    </w:pPr>
  </w:style>
  <w:style w:type="character" w:customStyle="1" w:styleId="Estilo2Char">
    <w:name w:val="Estilo2 Char"/>
    <w:basedOn w:val="Fontepargpadro"/>
    <w:link w:val="Estilo2"/>
    <w:rsid w:val="009B5A8F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9B5A8F"/>
    <w:pPr>
      <w:spacing w:after="0" w:line="240" w:lineRule="auto"/>
    </w:pPr>
    <w:rPr>
      <w:rFonts w:ascii="Arial" w:eastAsia="Calibri" w:hAnsi="Arial" w:cs="Arial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B5A8F"/>
    <w:rPr>
      <w:color w:val="605E5C"/>
      <w:shd w:val="clear" w:color="auto" w:fill="E1DFDD"/>
    </w:rPr>
  </w:style>
  <w:style w:type="paragraph" w:customStyle="1" w:styleId="Refernciaseapendice">
    <w:name w:val="Referências e apeêndice"/>
    <w:basedOn w:val="Ttulo1"/>
    <w:link w:val="RefernciaseapendiceChar"/>
    <w:autoRedefine/>
    <w:qFormat/>
    <w:rsid w:val="00093239"/>
    <w:pPr>
      <w:numPr>
        <w:numId w:val="0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1C6E95"/>
    <w:pPr>
      <w:spacing w:after="100"/>
      <w:ind w:left="480"/>
    </w:pPr>
  </w:style>
  <w:style w:type="character" w:customStyle="1" w:styleId="RefernciaseapendiceChar">
    <w:name w:val="Referências e apeêndice Char"/>
    <w:basedOn w:val="Ttulo1Char"/>
    <w:link w:val="Refernciaseapendice"/>
    <w:rsid w:val="00093239"/>
    <w:rPr>
      <w:rFonts w:ascii="Arial" w:eastAsiaTheme="majorEastAsia" w:hAnsi="Arial" w:cstheme="majorBidi"/>
      <w:b/>
      <w:color w:val="000000" w:themeColor="text1"/>
      <w:sz w:val="28"/>
      <w:szCs w:val="32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1C6E95"/>
    <w:pPr>
      <w:spacing w:after="0"/>
    </w:pPr>
  </w:style>
  <w:style w:type="character" w:styleId="TextodoEspaoReservado">
    <w:name w:val="Placeholder Text"/>
    <w:basedOn w:val="Fontepargpadro"/>
    <w:uiPriority w:val="99"/>
    <w:semiHidden/>
    <w:rsid w:val="00A7626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55E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5E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5EA5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5E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5EA5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81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8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2814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2814"/>
    <w:rPr>
      <w:vertAlign w:val="superscript"/>
    </w:rPr>
  </w:style>
  <w:style w:type="paragraph" w:styleId="Reviso">
    <w:name w:val="Revision"/>
    <w:hidden/>
    <w:uiPriority w:val="99"/>
    <w:semiHidden/>
    <w:rsid w:val="00890848"/>
    <w:pPr>
      <w:spacing w:after="0" w:line="240" w:lineRule="auto"/>
    </w:pPr>
    <w:rPr>
      <w:rFonts w:ascii="Arial" w:hAnsi="Arial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C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epuc@puc-rio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3CB9-D988-452A-84E0-B2FF3BB7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m</dc:creator>
  <cp:keywords/>
  <dc:description/>
  <cp:lastModifiedBy>Edmar Almeida</cp:lastModifiedBy>
  <cp:revision>5</cp:revision>
  <cp:lastPrinted>2023-09-30T13:05:00Z</cp:lastPrinted>
  <dcterms:created xsi:type="dcterms:W3CDTF">2023-09-28T18:36:00Z</dcterms:created>
  <dcterms:modified xsi:type="dcterms:W3CDTF">2023-09-30T13:05:00Z</dcterms:modified>
</cp:coreProperties>
</file>