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4B3DB" w14:textId="6E9F44F0" w:rsidR="005F1059" w:rsidRPr="005F1059" w:rsidRDefault="005F1059" w:rsidP="005F1059">
      <w:pPr>
        <w:spacing w:after="0"/>
        <w:ind w:right="709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5F1059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ESCLARECIMENTO 1</w:t>
      </w:r>
    </w:p>
    <w:p w14:paraId="10049208" w14:textId="240BEE39" w:rsidR="005F1059" w:rsidRPr="005F1059" w:rsidRDefault="005F1059" w:rsidP="005F1059">
      <w:pPr>
        <w:tabs>
          <w:tab w:val="center" w:pos="4252"/>
          <w:tab w:val="left" w:pos="6048"/>
        </w:tabs>
        <w:spacing w:after="0"/>
        <w:ind w:right="709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</w:pPr>
      <w:r w:rsidRPr="005F1059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 xml:space="preserve">PREGÃO ELETRÔNICO N° </w:t>
      </w:r>
      <w:r w:rsidR="00E704B0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53</w:t>
      </w:r>
      <w:r w:rsidRPr="005F1059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/202</w:t>
      </w:r>
      <w:r w:rsidR="00062C85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2</w:t>
      </w:r>
    </w:p>
    <w:p w14:paraId="1A62FC99" w14:textId="77777777" w:rsidR="005F1059" w:rsidRPr="005F1059" w:rsidRDefault="005F1059" w:rsidP="005F1059">
      <w:pPr>
        <w:tabs>
          <w:tab w:val="center" w:pos="4252"/>
          <w:tab w:val="left" w:pos="6048"/>
        </w:tabs>
        <w:spacing w:after="0"/>
        <w:ind w:right="709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tbl>
      <w:tblPr>
        <w:tblW w:w="906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3543"/>
      </w:tblGrid>
      <w:tr w:rsidR="005F1059" w:rsidRPr="005F1059" w14:paraId="78458E90" w14:textId="77777777" w:rsidTr="002D7286">
        <w:trPr>
          <w:trHeight w:val="40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13C31" w14:textId="565A0AA6" w:rsidR="005F1059" w:rsidRPr="005F1059" w:rsidRDefault="005F1059" w:rsidP="002D7286">
            <w:pPr>
              <w:spacing w:after="0"/>
              <w:ind w:left="57" w:right="709"/>
              <w:jc w:val="left"/>
              <w:rPr>
                <w:rFonts w:ascii="Arial Narrow" w:eastAsia="Times New Roman" w:hAnsi="Arial Narrow" w:cs="Arial"/>
                <w:b/>
                <w:sz w:val="24"/>
                <w:szCs w:val="24"/>
                <w:highlight w:val="yellow"/>
                <w:lang w:eastAsia="pt-BR"/>
              </w:rPr>
            </w:pPr>
            <w:r w:rsidRPr="005F1059">
              <w:rPr>
                <w:rFonts w:ascii="Arial Narrow" w:hAnsi="Arial Narrow" w:cs="Arial"/>
                <w:b/>
                <w:sz w:val="24"/>
                <w:szCs w:val="24"/>
              </w:rPr>
              <w:t>Processo nº PRO-</w:t>
            </w:r>
            <w:r w:rsidR="006A5774">
              <w:rPr>
                <w:rFonts w:ascii="Arial Narrow" w:hAnsi="Arial Narrow" w:cs="Arial"/>
                <w:b/>
                <w:sz w:val="24"/>
                <w:szCs w:val="24"/>
              </w:rPr>
              <w:t>0</w:t>
            </w:r>
            <w:r w:rsidR="00062C85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E704B0">
              <w:rPr>
                <w:rFonts w:ascii="Arial Narrow" w:hAnsi="Arial Narrow" w:cs="Arial"/>
                <w:b/>
                <w:sz w:val="24"/>
                <w:szCs w:val="24"/>
              </w:rPr>
              <w:t>994</w:t>
            </w:r>
            <w:r w:rsidRPr="005F1059">
              <w:rPr>
                <w:rFonts w:ascii="Arial Narrow" w:hAnsi="Arial Narrow" w:cs="Arial"/>
                <w:b/>
                <w:sz w:val="24"/>
                <w:szCs w:val="24"/>
              </w:rPr>
              <w:t>/202</w:t>
            </w:r>
            <w:r w:rsidR="00062C85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 w:rsidRPr="005F1059">
              <w:rPr>
                <w:rFonts w:ascii="Arial Narrow" w:hAnsi="Arial Narrow" w:cs="Arial"/>
                <w:b/>
                <w:sz w:val="24"/>
                <w:szCs w:val="24"/>
              </w:rPr>
              <w:t xml:space="preserve"> - SC nº 0</w:t>
            </w:r>
            <w:r w:rsidR="00E704B0">
              <w:rPr>
                <w:rFonts w:ascii="Arial Narrow" w:hAnsi="Arial Narrow" w:cs="Arial"/>
                <w:b/>
                <w:sz w:val="24"/>
                <w:szCs w:val="24"/>
              </w:rPr>
              <w:t>39179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F1000" w14:textId="77777777" w:rsidR="005F1059" w:rsidRPr="005F1059" w:rsidRDefault="005F1059" w:rsidP="002D7286">
            <w:pPr>
              <w:spacing w:after="0"/>
              <w:ind w:left="57" w:right="709"/>
              <w:jc w:val="left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5F1059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Tipo: </w:t>
            </w:r>
            <w:r w:rsidRPr="005F10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Menor Valor Global</w:t>
            </w:r>
          </w:p>
        </w:tc>
      </w:tr>
      <w:tr w:rsidR="005F1059" w:rsidRPr="005F1059" w14:paraId="7BF23ABB" w14:textId="77777777" w:rsidTr="002D7286">
        <w:trPr>
          <w:trHeight w:val="47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B1DDB" w14:textId="4491E2ED" w:rsidR="005F1059" w:rsidRPr="005F1059" w:rsidRDefault="005F1059" w:rsidP="002D7286">
            <w:pPr>
              <w:spacing w:after="0"/>
              <w:ind w:left="57" w:right="709"/>
              <w:jc w:val="left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5F1059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Abertura: </w:t>
            </w:r>
            <w:r w:rsidR="00E704B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15</w:t>
            </w:r>
            <w:r w:rsidR="006B151D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/</w:t>
            </w:r>
            <w:r w:rsidR="00E704B0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6</w:t>
            </w:r>
            <w:r w:rsidRPr="005F1059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/202</w:t>
            </w:r>
            <w:r w:rsidR="00062C8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511A1" w14:textId="7EF4F4A5" w:rsidR="005F1059" w:rsidRPr="005F1059" w:rsidRDefault="005F1059" w:rsidP="002D7286">
            <w:pPr>
              <w:spacing w:after="0"/>
              <w:ind w:left="57" w:right="709"/>
              <w:jc w:val="left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5F1059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Horário: </w:t>
            </w:r>
            <w:r w:rsidR="006B151D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10</w:t>
            </w:r>
            <w:r w:rsidRPr="005F1059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h</w:t>
            </w:r>
          </w:p>
        </w:tc>
      </w:tr>
      <w:tr w:rsidR="005F1059" w:rsidRPr="005F1059" w14:paraId="7AE79395" w14:textId="77777777" w:rsidTr="002D7286">
        <w:trPr>
          <w:trHeight w:val="398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11B2" w14:textId="77777777" w:rsidR="005F1059" w:rsidRPr="005F1059" w:rsidRDefault="005F1059" w:rsidP="002D7286">
            <w:pPr>
              <w:spacing w:after="160"/>
              <w:ind w:left="57" w:right="709"/>
              <w:jc w:val="left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5F1059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Local: SBN, Quadra 1, Bloco C, Edifício Roberto Simonsen, 2º andar, CEP 70040-903 Brasília (DF). Fone: (61) 3317-8968 – E-mail: </w:t>
            </w:r>
            <w:hyperlink r:id="rId7" w:history="1">
              <w:r w:rsidRPr="005F1059">
                <w:rPr>
                  <w:rStyle w:val="Hyperlink"/>
                  <w:rFonts w:ascii="Arial Narrow" w:eastAsia="Times New Roman" w:hAnsi="Arial Narrow" w:cs="Arial"/>
                  <w:b/>
                  <w:sz w:val="24"/>
                  <w:szCs w:val="24"/>
                  <w:lang w:eastAsia="pt-BR"/>
                </w:rPr>
                <w:t>licitacoes@cni.com.br</w:t>
              </w:r>
            </w:hyperlink>
          </w:p>
        </w:tc>
      </w:tr>
    </w:tbl>
    <w:p w14:paraId="2115A4A1" w14:textId="77777777" w:rsidR="005F1059" w:rsidRPr="005F1059" w:rsidRDefault="005F1059" w:rsidP="005F1059">
      <w:pPr>
        <w:spacing w:after="160"/>
        <w:ind w:right="-30"/>
        <w:rPr>
          <w:rFonts w:ascii="Arial Narrow" w:hAnsi="Arial Narrow" w:cs="Arial"/>
          <w:sz w:val="24"/>
          <w:szCs w:val="24"/>
        </w:rPr>
      </w:pPr>
    </w:p>
    <w:p w14:paraId="565984BC" w14:textId="26A9B8F7" w:rsidR="005F1059" w:rsidRPr="00BC1C2C" w:rsidRDefault="00E94AA4" w:rsidP="00735ED5">
      <w:pPr>
        <w:spacing w:after="160"/>
        <w:ind w:right="-30"/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</w:pPr>
      <w:r w:rsidRPr="00BC1C2C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 xml:space="preserve">1- </w:t>
      </w:r>
      <w:r w:rsidR="005F1059" w:rsidRPr="00BC1C2C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>PERGUN</w:t>
      </w:r>
      <w:r w:rsidR="00286C8E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>T</w:t>
      </w:r>
      <w:r w:rsidR="005F1059" w:rsidRPr="00BC1C2C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 xml:space="preserve">A.: </w:t>
      </w:r>
    </w:p>
    <w:p w14:paraId="782A3216" w14:textId="05D07646" w:rsidR="00E704B0" w:rsidRDefault="00E704B0" w:rsidP="00735ED5">
      <w:r>
        <w:t xml:space="preserve">A saber: Notebook Tela FHD de 15.6" (1920x1080), antirreflexo, 45% NTSC, 220 </w:t>
      </w:r>
      <w:proofErr w:type="spellStart"/>
      <w:r>
        <w:t>Nits</w:t>
      </w:r>
      <w:proofErr w:type="spellEnd"/>
      <w:r>
        <w:t xml:space="preserve"> com câmera e microfone; Peso Máximo: 2,6kg. Deverá ser entregue solução própria ou oficialmente homologada, devidamente comprovado por catálogo do fabricante.</w:t>
      </w:r>
    </w:p>
    <w:p w14:paraId="29560DB5" w14:textId="1B1394B4" w:rsidR="00E704B0" w:rsidRDefault="00E704B0" w:rsidP="00735ED5">
      <w:r>
        <w:t>Os grandes players do mercado possuem arquiteturas diversas, onde diferem em seus projetos quantidade de portas, conexões configurações internas de placas gráficas e baterias. O objeto do termo de referência são notebooks de alto desempenho, o que acarreta maior durabilidade, poder de processamento, capacidade de expansão, autonomia de bateria se tratando de um equipamento mais robusto do tipo notebook workstation, atendendo até mesmo a certificação MIL-STD-810H (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passed</w:t>
      </w:r>
      <w:proofErr w:type="spellEnd"/>
      <w:r>
        <w:t>) o que é muito cobrado para esse tipo de equipamentos portáteis. Sendo assim, para que possamos oferecer equipamentos do fabricante Lenovo, maior do mundo no segmento e em atendimento aos princípios de competitividade e isonomia entendemos que:</w:t>
      </w:r>
    </w:p>
    <w:p w14:paraId="4C48CAF7" w14:textId="71D8F637" w:rsidR="00E704B0" w:rsidRDefault="00E704B0" w:rsidP="00735ED5">
      <w:r>
        <w:t>Serão aceitos equipamentos com peso máximo de 2.87kg admitindo-se essa pequena variação de 0,27 gramas em atendimento as especificações de peso típicas de equipamentos de alto desempenho como solicitado no objeto do edital. Está correto o nosso entendimento?</w:t>
      </w:r>
    </w:p>
    <w:p w14:paraId="2808F647" w14:textId="5A793D1C" w:rsidR="006B151D" w:rsidRDefault="00C72B8D" w:rsidP="00735ED5">
      <w:pPr>
        <w:rPr>
          <w:rStyle w:val="xnormaltextrun"/>
          <w:rFonts w:ascii="Arial Narrow" w:hAnsi="Arial Narrow"/>
          <w:b/>
          <w:bCs/>
          <w:color w:val="0000CC"/>
          <w:bdr w:val="none" w:sz="0" w:space="0" w:color="auto" w:frame="1"/>
        </w:rPr>
      </w:pPr>
      <w:r w:rsidRPr="002E6281">
        <w:rPr>
          <w:rStyle w:val="xnormaltextrun"/>
          <w:rFonts w:ascii="Arial Narrow" w:hAnsi="Arial Narrow"/>
          <w:b/>
          <w:bCs/>
          <w:color w:val="0000CC"/>
          <w:bdr w:val="none" w:sz="0" w:space="0" w:color="auto" w:frame="1"/>
        </w:rPr>
        <w:t>Resposta: Sim, o entendimento está correto.</w:t>
      </w:r>
    </w:p>
    <w:p w14:paraId="55D06365" w14:textId="77777777" w:rsidR="00C72B8D" w:rsidRDefault="00C72B8D" w:rsidP="00735ED5">
      <w:pPr>
        <w:rPr>
          <w:rFonts w:ascii="Arial Narrow" w:hAnsi="Arial Narrow"/>
          <w:sz w:val="24"/>
          <w:szCs w:val="24"/>
        </w:rPr>
      </w:pPr>
    </w:p>
    <w:p w14:paraId="106341E9" w14:textId="2CA0C83D" w:rsidR="006B151D" w:rsidRPr="00BC1C2C" w:rsidRDefault="00E94AA4" w:rsidP="00735ED5">
      <w:pPr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</w:pPr>
      <w:r w:rsidRPr="00BC1C2C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 xml:space="preserve">2 - </w:t>
      </w:r>
      <w:r w:rsidR="006B151D" w:rsidRPr="00BC1C2C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>PERGU</w:t>
      </w:r>
      <w:r w:rsidR="00286C8E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>N</w:t>
      </w:r>
      <w:r w:rsidR="006B151D" w:rsidRPr="00BC1C2C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 xml:space="preserve">TA: </w:t>
      </w:r>
    </w:p>
    <w:p w14:paraId="55F2346D" w14:textId="77777777" w:rsidR="00E704B0" w:rsidRDefault="00E704B0" w:rsidP="00735ED5">
      <w:r>
        <w:t xml:space="preserve">A saber: Porta de vídeo no mínimo Uma porta HDMI 2.1 e uma Um </w:t>
      </w:r>
      <w:proofErr w:type="spellStart"/>
      <w:r>
        <w:t>DisplayPort</w:t>
      </w:r>
      <w:proofErr w:type="spellEnd"/>
      <w:r>
        <w:t xml:space="preserve"> 1.4 mini “Permitir conexão de dois monitores externos”. </w:t>
      </w:r>
    </w:p>
    <w:p w14:paraId="6115634C" w14:textId="77777777" w:rsidR="00E704B0" w:rsidRDefault="00E704B0" w:rsidP="00735ED5">
      <w:r>
        <w:t xml:space="preserve">A porta </w:t>
      </w:r>
      <w:proofErr w:type="spellStart"/>
      <w:r>
        <w:t>DisplayPort</w:t>
      </w:r>
      <w:proofErr w:type="spellEnd"/>
      <w:r>
        <w:t xml:space="preserve"> 1.4 mini que é requisitada no texto acima tem como finalidade ter mais uma interface de vídeo disponível, a solução que estamos propondo que é superior a essa dispõe de interfaces mais atuais do mercado com o tipo USB-C e </w:t>
      </w:r>
      <w:proofErr w:type="spellStart"/>
      <w:r>
        <w:t>Thunderbolt</w:t>
      </w:r>
      <w:proofErr w:type="spellEnd"/>
      <w:r>
        <w:t xml:space="preserve"> 4 que tem como funcionalidade (suporte a data </w:t>
      </w:r>
      <w:proofErr w:type="spellStart"/>
      <w:r>
        <w:t>transfer</w:t>
      </w:r>
      <w:proofErr w:type="spellEnd"/>
      <w:r>
        <w:t xml:space="preserve">, Power Delivery 3.0 e </w:t>
      </w:r>
      <w:proofErr w:type="spellStart"/>
      <w:r>
        <w:t>DisplayPort</w:t>
      </w:r>
      <w:proofErr w:type="spellEnd"/>
      <w:r>
        <w:t xml:space="preserve"> 1.4(vídeo)). E com isso suporta até 5 monitores independentes através de: </w:t>
      </w:r>
    </w:p>
    <w:p w14:paraId="704E69BE" w14:textId="77777777" w:rsidR="00E704B0" w:rsidRDefault="00E704B0" w:rsidP="00735ED5">
      <w:r>
        <w:t xml:space="preserve">• HDMI • USB-C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5120x3200@60Hz </w:t>
      </w:r>
    </w:p>
    <w:p w14:paraId="09404819" w14:textId="77777777" w:rsidR="00E704B0" w:rsidRDefault="00E704B0" w:rsidP="00735ED5">
      <w:r>
        <w:t xml:space="preserve">• </w:t>
      </w:r>
      <w:proofErr w:type="spellStart"/>
      <w:r>
        <w:t>Thunderbolt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5120x3200@60Hz </w:t>
      </w:r>
    </w:p>
    <w:p w14:paraId="544033BF" w14:textId="77777777" w:rsidR="00E704B0" w:rsidRDefault="00E704B0" w:rsidP="00735ED5">
      <w:r>
        <w:t xml:space="preserve">Dito isso entendemos que: </w:t>
      </w:r>
    </w:p>
    <w:p w14:paraId="31D300CE" w14:textId="021AABDF" w:rsidR="00C72B8D" w:rsidRPr="00C72B8D" w:rsidRDefault="00E704B0" w:rsidP="00735ED5">
      <w:pPr>
        <w:rPr>
          <w:rFonts w:ascii="inherit" w:hAnsi="inherit"/>
          <w:color w:val="0070C0"/>
          <w:sz w:val="24"/>
          <w:szCs w:val="24"/>
          <w:shd w:val="clear" w:color="auto" w:fill="FFFFFF"/>
        </w:rPr>
      </w:pPr>
      <w:r>
        <w:t xml:space="preserve">Serão aceitos equipamentos com interface de vídeo do tipo USB-C e </w:t>
      </w:r>
      <w:proofErr w:type="spellStart"/>
      <w:r>
        <w:t>Thunderbolt</w:t>
      </w:r>
      <w:proofErr w:type="spellEnd"/>
      <w:r>
        <w:t xml:space="preserve"> (USB-4). Está correto o nosso entendimento</w:t>
      </w:r>
    </w:p>
    <w:p w14:paraId="0137F472" w14:textId="5829A54F" w:rsidR="00FE62B5" w:rsidRDefault="00C72B8D" w:rsidP="00735ED5">
      <w:pPr>
        <w:rPr>
          <w:rStyle w:val="xnormaltextrun"/>
          <w:rFonts w:ascii="Arial Narrow" w:hAnsi="Arial Narrow"/>
          <w:b/>
          <w:bCs/>
          <w:color w:val="0000CC"/>
          <w:bdr w:val="none" w:sz="0" w:space="0" w:color="auto" w:frame="1"/>
        </w:rPr>
      </w:pPr>
      <w:r w:rsidRPr="002E6281">
        <w:rPr>
          <w:rStyle w:val="xnormaltextrun"/>
          <w:rFonts w:ascii="Arial Narrow" w:hAnsi="Arial Narrow"/>
          <w:b/>
          <w:bCs/>
          <w:color w:val="0000CC"/>
          <w:bdr w:val="none" w:sz="0" w:space="0" w:color="auto" w:frame="1"/>
        </w:rPr>
        <w:t>Resposta: Sim, o entendimento está correto.</w:t>
      </w:r>
    </w:p>
    <w:p w14:paraId="50B7AFC6" w14:textId="77777777" w:rsidR="00286C8E" w:rsidRDefault="00286C8E" w:rsidP="00735ED5">
      <w:pPr>
        <w:rPr>
          <w:rStyle w:val="xnormaltextrun"/>
          <w:rFonts w:ascii="Arial Narrow" w:hAnsi="Arial Narrow"/>
          <w:b/>
          <w:bCs/>
          <w:color w:val="0000CC"/>
          <w:bdr w:val="none" w:sz="0" w:space="0" w:color="auto" w:frame="1"/>
        </w:rPr>
      </w:pPr>
    </w:p>
    <w:p w14:paraId="7A53AF37" w14:textId="77777777" w:rsidR="003169A1" w:rsidRPr="002F53C6" w:rsidRDefault="003169A1" w:rsidP="003169A1">
      <w:pPr>
        <w:shd w:val="clear" w:color="auto" w:fill="FFFFFF"/>
        <w:ind w:left="-284" w:right="-285"/>
        <w:jc w:val="center"/>
        <w:textAlignment w:val="baseline"/>
        <w:rPr>
          <w:rFonts w:ascii="Arial Narrow" w:hAnsi="Arial Narrow"/>
          <w:b/>
          <w:sz w:val="24"/>
          <w:szCs w:val="24"/>
        </w:rPr>
      </w:pPr>
      <w:r w:rsidRPr="002F53C6">
        <w:rPr>
          <w:rFonts w:ascii="Arial Narrow" w:hAnsi="Arial Narrow"/>
          <w:b/>
          <w:sz w:val="24"/>
          <w:szCs w:val="24"/>
        </w:rPr>
        <w:t>Para todos os efeitos este documento passa a integrar o edital em referência.</w:t>
      </w:r>
    </w:p>
    <w:p w14:paraId="7775D899" w14:textId="77777777" w:rsidR="003169A1" w:rsidRDefault="003169A1" w:rsidP="003169A1">
      <w:pPr>
        <w:spacing w:after="0"/>
        <w:ind w:left="-284" w:right="-285"/>
        <w:jc w:val="right"/>
        <w:rPr>
          <w:rFonts w:ascii="Arial Narrow" w:hAnsi="Arial Narrow"/>
          <w:sz w:val="24"/>
          <w:szCs w:val="24"/>
        </w:rPr>
      </w:pPr>
    </w:p>
    <w:p w14:paraId="7F035D17" w14:textId="1A8FF492" w:rsidR="003169A1" w:rsidRPr="002F53C6" w:rsidRDefault="003169A1" w:rsidP="003169A1">
      <w:pPr>
        <w:spacing w:after="0"/>
        <w:ind w:left="-284" w:right="-285"/>
        <w:jc w:val="right"/>
        <w:rPr>
          <w:rFonts w:ascii="Arial Narrow" w:hAnsi="Arial Narrow"/>
          <w:sz w:val="24"/>
          <w:szCs w:val="24"/>
        </w:rPr>
      </w:pPr>
      <w:r w:rsidRPr="002F53C6">
        <w:rPr>
          <w:rFonts w:ascii="Arial Narrow" w:hAnsi="Arial Narrow"/>
          <w:sz w:val="24"/>
          <w:szCs w:val="24"/>
        </w:rPr>
        <w:t>Brasília,</w:t>
      </w:r>
      <w:r>
        <w:rPr>
          <w:rFonts w:ascii="Arial Narrow" w:hAnsi="Arial Narrow"/>
          <w:sz w:val="24"/>
          <w:szCs w:val="24"/>
        </w:rPr>
        <w:t xml:space="preserve"> </w:t>
      </w:r>
      <w:r w:rsidR="00304866">
        <w:rPr>
          <w:rFonts w:ascii="Arial Narrow" w:hAnsi="Arial Narrow"/>
          <w:sz w:val="24"/>
          <w:szCs w:val="24"/>
        </w:rPr>
        <w:t>9</w:t>
      </w:r>
      <w:r w:rsidR="00F45942">
        <w:rPr>
          <w:rFonts w:ascii="Arial Narrow" w:hAnsi="Arial Narrow"/>
          <w:sz w:val="24"/>
          <w:szCs w:val="24"/>
        </w:rPr>
        <w:t xml:space="preserve"> </w:t>
      </w:r>
      <w:r w:rsidRPr="002F53C6">
        <w:rPr>
          <w:rFonts w:ascii="Arial Narrow" w:hAnsi="Arial Narrow"/>
          <w:sz w:val="24"/>
          <w:szCs w:val="24"/>
        </w:rPr>
        <w:t xml:space="preserve">de </w:t>
      </w:r>
      <w:r w:rsidR="00304866">
        <w:rPr>
          <w:rFonts w:ascii="Arial Narrow" w:hAnsi="Arial Narrow"/>
          <w:sz w:val="24"/>
          <w:szCs w:val="24"/>
        </w:rPr>
        <w:t>junho</w:t>
      </w:r>
      <w:r w:rsidRPr="002F53C6">
        <w:rPr>
          <w:rFonts w:ascii="Arial Narrow" w:hAnsi="Arial Narrow"/>
          <w:sz w:val="24"/>
          <w:szCs w:val="24"/>
        </w:rPr>
        <w:t xml:space="preserve"> de 202</w:t>
      </w:r>
      <w:r w:rsidR="00062C85">
        <w:rPr>
          <w:rFonts w:ascii="Arial Narrow" w:hAnsi="Arial Narrow"/>
          <w:sz w:val="24"/>
          <w:szCs w:val="24"/>
        </w:rPr>
        <w:t>2</w:t>
      </w:r>
      <w:r w:rsidRPr="002F53C6">
        <w:rPr>
          <w:rFonts w:ascii="Arial Narrow" w:hAnsi="Arial Narrow"/>
          <w:sz w:val="24"/>
          <w:szCs w:val="24"/>
        </w:rPr>
        <w:t>.</w:t>
      </w:r>
    </w:p>
    <w:p w14:paraId="3F1730C5" w14:textId="77777777" w:rsidR="003169A1" w:rsidRPr="002F53C6" w:rsidRDefault="003169A1" w:rsidP="003169A1">
      <w:pPr>
        <w:spacing w:after="0"/>
        <w:ind w:left="-284" w:right="-285"/>
        <w:rPr>
          <w:rFonts w:ascii="Arial Narrow" w:hAnsi="Arial Narrow"/>
          <w:sz w:val="24"/>
          <w:szCs w:val="24"/>
        </w:rPr>
      </w:pPr>
    </w:p>
    <w:p w14:paraId="77B6C151" w14:textId="77777777" w:rsidR="003169A1" w:rsidRPr="002F53C6" w:rsidRDefault="003169A1" w:rsidP="003169A1">
      <w:pPr>
        <w:shd w:val="clear" w:color="auto" w:fill="FFFFFF"/>
        <w:spacing w:after="0"/>
        <w:ind w:left="-284" w:right="-285"/>
        <w:rPr>
          <w:rFonts w:ascii="Arial Narrow" w:hAnsi="Arial Narrow"/>
          <w:color w:val="222222"/>
          <w:sz w:val="24"/>
          <w:szCs w:val="24"/>
        </w:rPr>
      </w:pPr>
    </w:p>
    <w:p w14:paraId="0B76B6E9" w14:textId="2FB4A5F1" w:rsidR="003169A1" w:rsidRPr="005F1059" w:rsidRDefault="003169A1" w:rsidP="00286C8E">
      <w:pPr>
        <w:spacing w:after="0"/>
        <w:ind w:left="-284" w:right="-285"/>
        <w:jc w:val="center"/>
        <w:rPr>
          <w:rFonts w:ascii="Arial Narrow" w:hAnsi="Arial Narrow"/>
          <w:sz w:val="24"/>
          <w:szCs w:val="24"/>
        </w:rPr>
      </w:pPr>
      <w:r w:rsidRPr="00560B27">
        <w:rPr>
          <w:rFonts w:ascii="Arial Narrow" w:hAnsi="Arial Narrow"/>
          <w:b/>
          <w:bCs/>
          <w:sz w:val="24"/>
          <w:szCs w:val="24"/>
        </w:rPr>
        <w:t>Comissão Permanente de Licitação - CPL</w:t>
      </w:r>
    </w:p>
    <w:sectPr w:rsidR="003169A1" w:rsidRPr="005F1059" w:rsidSect="00286C8E">
      <w:headerReference w:type="default" r:id="rId8"/>
      <w:pgSz w:w="11906" w:h="16838"/>
      <w:pgMar w:top="1180" w:right="1701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943CC" w14:textId="77777777" w:rsidR="006C4833" w:rsidRDefault="006C4833" w:rsidP="005F1059">
      <w:pPr>
        <w:spacing w:after="0"/>
      </w:pPr>
      <w:r>
        <w:separator/>
      </w:r>
    </w:p>
  </w:endnote>
  <w:endnote w:type="continuationSeparator" w:id="0">
    <w:p w14:paraId="06E3A97B" w14:textId="77777777" w:rsidR="006C4833" w:rsidRDefault="006C4833" w:rsidP="005F10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C0B2E" w14:textId="77777777" w:rsidR="006C4833" w:rsidRDefault="006C4833" w:rsidP="005F1059">
      <w:pPr>
        <w:spacing w:after="0"/>
      </w:pPr>
      <w:r>
        <w:separator/>
      </w:r>
    </w:p>
  </w:footnote>
  <w:footnote w:type="continuationSeparator" w:id="0">
    <w:p w14:paraId="17123B65" w14:textId="77777777" w:rsidR="006C4833" w:rsidRDefault="006C4833" w:rsidP="005F10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5337" w14:textId="1DC27405" w:rsidR="005F1059" w:rsidRDefault="00051DAE" w:rsidP="00051DA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358CA2F" wp14:editId="09B271BF">
          <wp:extent cx="1370531" cy="492981"/>
          <wp:effectExtent l="0" t="0" r="1270" b="254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195" cy="504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923"/>
    <w:multiLevelType w:val="hybridMultilevel"/>
    <w:tmpl w:val="DA883F4A"/>
    <w:lvl w:ilvl="0" w:tplc="86D87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56220"/>
    <w:multiLevelType w:val="hybridMultilevel"/>
    <w:tmpl w:val="956CFDFC"/>
    <w:lvl w:ilvl="0" w:tplc="FEA46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59"/>
    <w:rsid w:val="00044986"/>
    <w:rsid w:val="00051DAE"/>
    <w:rsid w:val="00062C85"/>
    <w:rsid w:val="00286C8E"/>
    <w:rsid w:val="00304866"/>
    <w:rsid w:val="003169A1"/>
    <w:rsid w:val="0042576B"/>
    <w:rsid w:val="0043102F"/>
    <w:rsid w:val="005F089D"/>
    <w:rsid w:val="005F1059"/>
    <w:rsid w:val="005F32D4"/>
    <w:rsid w:val="006A5774"/>
    <w:rsid w:val="006A6E4B"/>
    <w:rsid w:val="006B151D"/>
    <w:rsid w:val="006C4833"/>
    <w:rsid w:val="00735ED5"/>
    <w:rsid w:val="0098320F"/>
    <w:rsid w:val="00BC1C2C"/>
    <w:rsid w:val="00C40319"/>
    <w:rsid w:val="00C46626"/>
    <w:rsid w:val="00C72B8D"/>
    <w:rsid w:val="00E237E7"/>
    <w:rsid w:val="00E704B0"/>
    <w:rsid w:val="00E94AA4"/>
    <w:rsid w:val="00F45942"/>
    <w:rsid w:val="00FE62B5"/>
    <w:rsid w:val="02CFC036"/>
    <w:rsid w:val="1191D7AD"/>
    <w:rsid w:val="16257248"/>
    <w:rsid w:val="166548D0"/>
    <w:rsid w:val="18011931"/>
    <w:rsid w:val="20B3F852"/>
    <w:rsid w:val="25CEB944"/>
    <w:rsid w:val="2884EEE1"/>
    <w:rsid w:val="28D9A1B6"/>
    <w:rsid w:val="4085A87F"/>
    <w:rsid w:val="478A3C4A"/>
    <w:rsid w:val="490CE44E"/>
    <w:rsid w:val="4EED40C1"/>
    <w:rsid w:val="5360E7CA"/>
    <w:rsid w:val="59E008C5"/>
    <w:rsid w:val="5B3BE19E"/>
    <w:rsid w:val="5FD0146D"/>
    <w:rsid w:val="74AE6BB1"/>
    <w:rsid w:val="78702D22"/>
    <w:rsid w:val="7ADC4316"/>
    <w:rsid w:val="7CE08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DF1727"/>
  <w15:chartTrackingRefBased/>
  <w15:docId w15:val="{81D4E097-491E-4B11-A82F-193B0986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059"/>
    <w:pPr>
      <w:spacing w:after="12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F105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1059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F1059"/>
  </w:style>
  <w:style w:type="paragraph" w:styleId="Rodap">
    <w:name w:val="footer"/>
    <w:basedOn w:val="Normal"/>
    <w:link w:val="RodapChar"/>
    <w:uiPriority w:val="99"/>
    <w:unhideWhenUsed/>
    <w:rsid w:val="005F1059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F1059"/>
  </w:style>
  <w:style w:type="paragraph" w:styleId="PargrafodaLista">
    <w:name w:val="List Paragraph"/>
    <w:basedOn w:val="Normal"/>
    <w:uiPriority w:val="34"/>
    <w:qFormat/>
    <w:rsid w:val="00C403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031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C7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082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oes@cni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Andreia Fernandes De Lima</cp:lastModifiedBy>
  <cp:revision>22</cp:revision>
  <cp:lastPrinted>2021-08-25T19:51:00Z</cp:lastPrinted>
  <dcterms:created xsi:type="dcterms:W3CDTF">2021-08-25T18:04:00Z</dcterms:created>
  <dcterms:modified xsi:type="dcterms:W3CDTF">2022-07-13T18:31:00Z</dcterms:modified>
</cp:coreProperties>
</file>